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907451" w:rsidP="001E28B6">
      <w:pPr>
        <w:spacing w:before="240" w:after="240" w:line="360" w:lineRule="auto"/>
        <w:jc w:val="both"/>
        <w:rPr>
          <w:rFonts w:ascii="Palatino Linotype" w:hAnsi="Palatino Linotype"/>
          <w:b/>
          <w:sz w:val="24"/>
          <w:szCs w:val="24"/>
        </w:rPr>
      </w:pPr>
      <w:bookmarkStart w:id="0" w:name="_GoBack"/>
      <w:bookmarkEnd w:id="0"/>
      <w:r w:rsidRPr="00642D91">
        <w:rPr>
          <w:rFonts w:ascii="Palatino Linotype" w:hAnsi="Palatino Linotype"/>
          <w:b/>
          <w:sz w:val="24"/>
          <w:szCs w:val="24"/>
        </w:rPr>
        <w:t>VOTO</w:t>
      </w:r>
      <w:r w:rsidR="000607BA" w:rsidRPr="00642D91">
        <w:rPr>
          <w:rFonts w:ascii="Palatino Linotype" w:hAnsi="Palatino Linotype"/>
          <w:b/>
          <w:sz w:val="24"/>
          <w:szCs w:val="24"/>
        </w:rPr>
        <w:t xml:space="preserve"> PARTICULAR QUE FORMULA </w:t>
      </w:r>
      <w:r w:rsidR="00004FA2">
        <w:rPr>
          <w:rFonts w:ascii="Palatino Linotype" w:hAnsi="Palatino Linotype"/>
          <w:b/>
          <w:sz w:val="24"/>
          <w:szCs w:val="24"/>
        </w:rPr>
        <w:t>EL</w:t>
      </w:r>
      <w:r w:rsidR="00335939" w:rsidRPr="00642D91">
        <w:rPr>
          <w:rFonts w:ascii="Palatino Linotype" w:hAnsi="Palatino Linotype"/>
          <w:b/>
          <w:sz w:val="24"/>
          <w:szCs w:val="24"/>
        </w:rPr>
        <w:t xml:space="preserve"> COMISIONADO </w:t>
      </w:r>
      <w:r w:rsidR="00BA3598" w:rsidRPr="00642D91">
        <w:rPr>
          <w:rFonts w:ascii="Palatino Linotype" w:hAnsi="Palatino Linotype" w:cs="Arial"/>
          <w:b/>
          <w:sz w:val="24"/>
          <w:szCs w:val="24"/>
        </w:rPr>
        <w:t xml:space="preserve">JAVIER MARTÍNEZ CRUZ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A204F8">
        <w:rPr>
          <w:rFonts w:ascii="Palatino Linotype" w:hAnsi="Palatino Linotype"/>
          <w:b/>
          <w:sz w:val="24"/>
          <w:szCs w:val="24"/>
        </w:rPr>
        <w:t xml:space="preserve">TRIGÉSIMA </w:t>
      </w:r>
      <w:r w:rsidR="00EC17E9">
        <w:rPr>
          <w:rFonts w:ascii="Palatino Linotype" w:hAnsi="Palatino Linotype"/>
          <w:b/>
          <w:sz w:val="24"/>
          <w:szCs w:val="24"/>
        </w:rPr>
        <w:t>PRIMERA</w:t>
      </w:r>
      <w:r w:rsidRPr="00642D91">
        <w:rPr>
          <w:rFonts w:ascii="Palatino Linotype" w:hAnsi="Palatino Linotype"/>
          <w:b/>
          <w:sz w:val="24"/>
          <w:szCs w:val="24"/>
        </w:rPr>
        <w:t xml:space="preserve"> </w:t>
      </w:r>
      <w:r w:rsidR="000607BA" w:rsidRPr="00642D91">
        <w:rPr>
          <w:rFonts w:ascii="Palatino Linotype" w:hAnsi="Palatino Linotype"/>
          <w:b/>
          <w:sz w:val="24"/>
          <w:szCs w:val="24"/>
        </w:rPr>
        <w:t xml:space="preserve">SESIÓN ORDINARIA DEL </w:t>
      </w:r>
      <w:r w:rsidR="00A204F8">
        <w:rPr>
          <w:rFonts w:ascii="Palatino Linotype" w:hAnsi="Palatino Linotype"/>
          <w:b/>
          <w:sz w:val="24"/>
          <w:szCs w:val="24"/>
        </w:rPr>
        <w:t>VEINTINUEVE DE AGOSTO</w:t>
      </w:r>
      <w:r w:rsidR="00004FA2">
        <w:rPr>
          <w:rFonts w:ascii="Palatino Linotype" w:hAnsi="Palatino Linotype"/>
          <w:b/>
          <w:sz w:val="24"/>
          <w:szCs w:val="24"/>
        </w:rPr>
        <w:t xml:space="preserve"> DE DOS MIL DIECIOCHO,</w:t>
      </w:r>
      <w:r w:rsidR="000607BA" w:rsidRPr="00642D91">
        <w:rPr>
          <w:rFonts w:ascii="Palatino Linotype" w:hAnsi="Palatino Linotype"/>
          <w:b/>
          <w:sz w:val="24"/>
          <w:szCs w:val="24"/>
        </w:rPr>
        <w:t xml:space="preserve"> </w:t>
      </w:r>
      <w:r w:rsidR="00F41D72">
        <w:rPr>
          <w:rFonts w:ascii="Palatino Linotype" w:hAnsi="Palatino Linotype"/>
          <w:b/>
          <w:sz w:val="24"/>
          <w:szCs w:val="24"/>
        </w:rPr>
        <w:t xml:space="preserve">EN LO RELATIVO AL </w:t>
      </w:r>
      <w:r w:rsidR="000607BA" w:rsidRPr="00642D91">
        <w:rPr>
          <w:rFonts w:ascii="Palatino Linotype" w:hAnsi="Palatino Linotype"/>
          <w:b/>
          <w:sz w:val="24"/>
          <w:szCs w:val="24"/>
        </w:rPr>
        <w:t>RECURSO DE REVISIÓN 0</w:t>
      </w:r>
      <w:r w:rsidR="00A204F8">
        <w:rPr>
          <w:rFonts w:ascii="Palatino Linotype" w:hAnsi="Palatino Linotype"/>
          <w:b/>
          <w:sz w:val="24"/>
          <w:szCs w:val="24"/>
        </w:rPr>
        <w:t>2270</w:t>
      </w:r>
      <w:r w:rsidR="000607BA" w:rsidRPr="00642D91">
        <w:rPr>
          <w:rFonts w:ascii="Palatino Linotype" w:hAnsi="Palatino Linotype"/>
          <w:b/>
          <w:sz w:val="24"/>
          <w:szCs w:val="24"/>
        </w:rPr>
        <w:t>/INFOEM/IP/RR/201</w:t>
      </w:r>
      <w:r w:rsidR="00034C51">
        <w:rPr>
          <w:rFonts w:ascii="Palatino Linotype" w:hAnsi="Palatino Linotype"/>
          <w:b/>
          <w:sz w:val="24"/>
          <w:szCs w:val="24"/>
        </w:rPr>
        <w:t>8</w:t>
      </w:r>
      <w:r w:rsidR="000607BA" w:rsidRPr="00642D91">
        <w:rPr>
          <w:rFonts w:ascii="Palatino Linotype" w:hAnsi="Palatino Linotype"/>
          <w:b/>
          <w:sz w:val="24"/>
          <w:szCs w:val="24"/>
        </w:rPr>
        <w:t>.</w:t>
      </w:r>
    </w:p>
    <w:p w:rsidR="00A204F8" w:rsidRDefault="00C47969" w:rsidP="001E28B6">
      <w:pPr>
        <w:spacing w:before="240" w:after="240" w:line="360" w:lineRule="auto"/>
        <w:jc w:val="both"/>
        <w:rPr>
          <w:rFonts w:ascii="Palatino Linotype" w:hAnsi="Palatino Linotype"/>
          <w:i/>
          <w:color w:val="000000"/>
          <w:szCs w:val="14"/>
        </w:rPr>
      </w:pPr>
      <w:r>
        <w:rPr>
          <w:rFonts w:ascii="Palatino Linotype" w:hAnsi="Palatino Linotype"/>
          <w:sz w:val="24"/>
          <w:szCs w:val="24"/>
        </w:rPr>
        <w:t xml:space="preserve">El Pleno del Instituto de Transparencia, Acceso a la Información Pública y Protección de Datos Personales del Estado de </w:t>
      </w:r>
      <w:r w:rsidR="00004FA2">
        <w:rPr>
          <w:rFonts w:ascii="Palatino Linotype" w:hAnsi="Palatino Linotype"/>
          <w:sz w:val="24"/>
          <w:szCs w:val="24"/>
        </w:rPr>
        <w:t>México y Municipios, aprobó por unanimidad</w:t>
      </w:r>
      <w:r>
        <w:rPr>
          <w:rFonts w:ascii="Palatino Linotype" w:hAnsi="Palatino Linotype"/>
          <w:sz w:val="24"/>
          <w:szCs w:val="24"/>
        </w:rPr>
        <w:t xml:space="preserve"> </w:t>
      </w:r>
      <w:r w:rsidR="00A204F8">
        <w:rPr>
          <w:rFonts w:ascii="Palatino Linotype" w:hAnsi="Palatino Linotype"/>
          <w:sz w:val="24"/>
          <w:szCs w:val="24"/>
        </w:rPr>
        <w:t>sobreseer</w:t>
      </w:r>
      <w:r w:rsidR="00B7062F">
        <w:rPr>
          <w:rFonts w:ascii="Palatino Linotype" w:hAnsi="Palatino Linotype"/>
          <w:sz w:val="24"/>
          <w:szCs w:val="24"/>
        </w:rPr>
        <w:t xml:space="preserve"> el recurso de revisión, materia de la solicitud </w:t>
      </w:r>
      <w:r w:rsidR="00F41D72">
        <w:rPr>
          <w:rFonts w:ascii="Palatino Linotype" w:hAnsi="Palatino Linotype"/>
          <w:sz w:val="24"/>
          <w:szCs w:val="24"/>
        </w:rPr>
        <w:t xml:space="preserve">con número de folio </w:t>
      </w:r>
      <w:r w:rsidR="00476506">
        <w:rPr>
          <w:rFonts w:ascii="Palatino Linotype" w:hAnsi="Palatino Linotype"/>
          <w:sz w:val="24"/>
          <w:szCs w:val="24"/>
        </w:rPr>
        <w:t>00</w:t>
      </w:r>
      <w:r w:rsidR="00A204F8">
        <w:rPr>
          <w:rFonts w:ascii="Palatino Linotype" w:hAnsi="Palatino Linotype"/>
          <w:sz w:val="24"/>
          <w:szCs w:val="24"/>
        </w:rPr>
        <w:t>225</w:t>
      </w:r>
      <w:r w:rsidR="00476506">
        <w:rPr>
          <w:rFonts w:ascii="Palatino Linotype" w:hAnsi="Palatino Linotype"/>
          <w:sz w:val="24"/>
          <w:szCs w:val="24"/>
        </w:rPr>
        <w:t>/</w:t>
      </w:r>
      <w:r w:rsidR="00A204F8">
        <w:rPr>
          <w:rFonts w:ascii="Palatino Linotype" w:hAnsi="Palatino Linotype"/>
          <w:sz w:val="24"/>
          <w:szCs w:val="24"/>
        </w:rPr>
        <w:t>HUIXQUIL</w:t>
      </w:r>
      <w:r w:rsidR="00F41D72">
        <w:rPr>
          <w:rFonts w:ascii="Palatino Linotype" w:hAnsi="Palatino Linotype"/>
          <w:sz w:val="24"/>
          <w:szCs w:val="24"/>
        </w:rPr>
        <w:t>/IP/2018</w:t>
      </w:r>
      <w:r w:rsidR="00B7062F">
        <w:rPr>
          <w:rFonts w:ascii="Palatino Linotype" w:hAnsi="Palatino Linotype"/>
          <w:sz w:val="24"/>
          <w:szCs w:val="24"/>
        </w:rPr>
        <w:t xml:space="preserve">, </w:t>
      </w:r>
      <w:r w:rsidR="00E337F5">
        <w:rPr>
          <w:rFonts w:ascii="Palatino Linotype" w:hAnsi="Palatino Linotype"/>
          <w:sz w:val="24"/>
          <w:szCs w:val="24"/>
        </w:rPr>
        <w:t>en la que el</w:t>
      </w:r>
      <w:r w:rsidR="00F41D72">
        <w:rPr>
          <w:rFonts w:ascii="Palatino Linotype" w:hAnsi="Palatino Linotype"/>
          <w:sz w:val="24"/>
          <w:szCs w:val="24"/>
        </w:rPr>
        <w:t xml:space="preserve"> particular solicitó </w:t>
      </w:r>
      <w:r w:rsidR="00A204F8">
        <w:rPr>
          <w:rFonts w:ascii="Palatino Linotype" w:hAnsi="Palatino Linotype"/>
          <w:sz w:val="24"/>
          <w:szCs w:val="24"/>
        </w:rPr>
        <w:t xml:space="preserve">se le proporcionara en CD o USB </w:t>
      </w:r>
      <w:r w:rsidR="00A204F8" w:rsidRPr="00A204F8">
        <w:rPr>
          <w:rFonts w:ascii="Palatino Linotype" w:hAnsi="Palatino Linotype"/>
          <w:color w:val="000000"/>
          <w:sz w:val="24"/>
          <w:szCs w:val="24"/>
        </w:rPr>
        <w:t>la información inherente a cuentas catastrales registradas por año y su eficacia de pago, correspondiente a diez años</w:t>
      </w:r>
      <w:r w:rsidR="00A204F8">
        <w:rPr>
          <w:rFonts w:ascii="Palatino Linotype" w:hAnsi="Palatino Linotype"/>
          <w:color w:val="000000"/>
          <w:sz w:val="24"/>
          <w:szCs w:val="24"/>
        </w:rPr>
        <w:t xml:space="preserve"> anteriores a la fecha de la solicitud de acceso a la información.</w:t>
      </w:r>
    </w:p>
    <w:p w:rsidR="00A0229B" w:rsidRDefault="00A204F8" w:rsidP="001E28B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Atento a la modalidad elegida para la entrega de la información, es que el </w:t>
      </w:r>
      <w:r w:rsidRPr="00A204F8">
        <w:rPr>
          <w:rFonts w:ascii="Palatino Linotype" w:hAnsi="Palatino Linotype"/>
          <w:sz w:val="24"/>
          <w:szCs w:val="24"/>
        </w:rPr>
        <w:t>Sujeto Obligado</w:t>
      </w:r>
      <w:r>
        <w:rPr>
          <w:rFonts w:ascii="Palatino Linotype" w:hAnsi="Palatino Linotype"/>
          <w:b/>
          <w:sz w:val="24"/>
          <w:szCs w:val="24"/>
        </w:rPr>
        <w:t xml:space="preserve"> </w:t>
      </w:r>
      <w:r>
        <w:rPr>
          <w:rFonts w:ascii="Palatino Linotype" w:hAnsi="Palatino Linotype"/>
          <w:sz w:val="24"/>
          <w:szCs w:val="24"/>
        </w:rPr>
        <w:t>en fecha veintinueve de mayo de dos mil dieciocho</w:t>
      </w:r>
      <w:r w:rsidR="00CF220C">
        <w:rPr>
          <w:rFonts w:ascii="Palatino Linotype" w:hAnsi="Palatino Linotype"/>
          <w:sz w:val="24"/>
          <w:szCs w:val="24"/>
        </w:rPr>
        <w:t>,</w:t>
      </w:r>
      <w:r>
        <w:rPr>
          <w:rFonts w:ascii="Palatino Linotype" w:hAnsi="Palatino Linotype"/>
          <w:sz w:val="24"/>
          <w:szCs w:val="24"/>
        </w:rPr>
        <w:t xml:space="preserve"> requirió </w:t>
      </w:r>
      <w:r w:rsidR="00CF220C">
        <w:rPr>
          <w:rFonts w:ascii="Palatino Linotype" w:hAnsi="Palatino Linotype"/>
          <w:sz w:val="24"/>
          <w:szCs w:val="24"/>
        </w:rPr>
        <w:t xml:space="preserve">el </w:t>
      </w:r>
      <w:r>
        <w:rPr>
          <w:rFonts w:ascii="Palatino Linotype" w:hAnsi="Palatino Linotype"/>
          <w:sz w:val="24"/>
          <w:szCs w:val="24"/>
        </w:rPr>
        <w:t xml:space="preserve">pago para la entrega en CD-ROM, al tiempo que le informó </w:t>
      </w:r>
      <w:r w:rsidR="00CF220C">
        <w:rPr>
          <w:rFonts w:ascii="Palatino Linotype" w:hAnsi="Palatino Linotype"/>
          <w:sz w:val="24"/>
          <w:szCs w:val="24"/>
        </w:rPr>
        <w:t xml:space="preserve">al particular </w:t>
      </w:r>
      <w:r>
        <w:rPr>
          <w:rFonts w:ascii="Palatino Linotype" w:hAnsi="Palatino Linotype"/>
          <w:sz w:val="24"/>
          <w:szCs w:val="24"/>
        </w:rPr>
        <w:t xml:space="preserve">que debía </w:t>
      </w:r>
      <w:r w:rsidR="00CF220C">
        <w:rPr>
          <w:rFonts w:ascii="Palatino Linotype" w:hAnsi="Palatino Linotype"/>
          <w:sz w:val="24"/>
          <w:szCs w:val="24"/>
        </w:rPr>
        <w:t>acudir</w:t>
      </w:r>
      <w:r>
        <w:rPr>
          <w:rFonts w:ascii="Palatino Linotype" w:hAnsi="Palatino Linotype"/>
          <w:sz w:val="24"/>
          <w:szCs w:val="24"/>
        </w:rPr>
        <w:t xml:space="preserve"> a la oficina de la Unidad de </w:t>
      </w:r>
      <w:r w:rsidR="00CF220C">
        <w:rPr>
          <w:rFonts w:ascii="Palatino Linotype" w:hAnsi="Palatino Linotype"/>
          <w:sz w:val="24"/>
          <w:szCs w:val="24"/>
        </w:rPr>
        <w:t>Transparencia</w:t>
      </w:r>
      <w:r w:rsidR="00A0229B">
        <w:rPr>
          <w:rFonts w:ascii="Palatino Linotype" w:hAnsi="Palatino Linotype"/>
          <w:sz w:val="24"/>
          <w:szCs w:val="24"/>
        </w:rPr>
        <w:t>.</w:t>
      </w:r>
    </w:p>
    <w:p w:rsidR="00A108C9" w:rsidRDefault="00A0229B" w:rsidP="001E28B6">
      <w:pPr>
        <w:spacing w:before="240" w:after="240" w:line="360" w:lineRule="auto"/>
        <w:jc w:val="both"/>
        <w:rPr>
          <w:rFonts w:ascii="Palatino Linotype" w:hAnsi="Palatino Linotype"/>
          <w:sz w:val="24"/>
          <w:szCs w:val="24"/>
        </w:rPr>
      </w:pPr>
      <w:r>
        <w:rPr>
          <w:rFonts w:ascii="Palatino Linotype" w:hAnsi="Palatino Linotype"/>
          <w:sz w:val="24"/>
          <w:szCs w:val="24"/>
        </w:rPr>
        <w:t>Posteriormente el particular, interpuso el presente medio de defensa, señalando como motivos de agravio que la respuesta se encontraba incompleta</w:t>
      </w:r>
      <w:r w:rsidR="00CF220C">
        <w:rPr>
          <w:rFonts w:ascii="Palatino Linotype" w:hAnsi="Palatino Linotype"/>
          <w:sz w:val="24"/>
          <w:szCs w:val="24"/>
        </w:rPr>
        <w:t xml:space="preserve">; sin embargo, en </w:t>
      </w:r>
      <w:r w:rsidR="00CF220C">
        <w:rPr>
          <w:rFonts w:ascii="Palatino Linotype" w:hAnsi="Palatino Linotype"/>
          <w:sz w:val="24"/>
          <w:szCs w:val="24"/>
        </w:rPr>
        <w:lastRenderedPageBreak/>
        <w:t xml:space="preserve">un hecho posterior, en el plazo de siete días hábiles previsto en la Ley de Transparencia y Acceso a la Información Pública del Estado de México y Municipios para la manifestar lo que a su derecho de las partes conviniera, el Ayuntamiento de Huixquilucan rindió su informe justificado </w:t>
      </w:r>
      <w:r>
        <w:rPr>
          <w:rFonts w:ascii="Palatino Linotype" w:hAnsi="Palatino Linotype"/>
          <w:sz w:val="24"/>
          <w:szCs w:val="24"/>
        </w:rPr>
        <w:t xml:space="preserve">al que adjuntó la respuesta de la Tesorería Municipal, en la que esencialmente se manifestó que, </w:t>
      </w:r>
      <w:r>
        <w:rPr>
          <w:rFonts w:ascii="Palatino Linotype" w:hAnsi="Palatino Linotype"/>
          <w:i/>
          <w:sz w:val="24"/>
          <w:szCs w:val="24"/>
        </w:rPr>
        <w:t xml:space="preserve">considerando la resolución emitida por el Instituto de Transparencia y Acceso a la Información Pública y Protección de Datos Personales del Estado de México y Municipios, al respecto me permito adjuntar en Cd, la información requerida, </w:t>
      </w:r>
      <w:r>
        <w:rPr>
          <w:rFonts w:ascii="Palatino Linotype" w:hAnsi="Palatino Linotype"/>
          <w:sz w:val="24"/>
          <w:szCs w:val="24"/>
        </w:rPr>
        <w:t xml:space="preserve">de la que se advierte el año de registro, numero de cuentas registradas en el año, numero de cuentas que cumplieron son su </w:t>
      </w:r>
      <w:r w:rsidR="00A108C9">
        <w:rPr>
          <w:rFonts w:ascii="Palatino Linotype" w:hAnsi="Palatino Linotype"/>
          <w:sz w:val="24"/>
          <w:szCs w:val="24"/>
        </w:rPr>
        <w:t>pago</w:t>
      </w:r>
      <w:r>
        <w:rPr>
          <w:rFonts w:ascii="Palatino Linotype" w:hAnsi="Palatino Linotype"/>
          <w:sz w:val="24"/>
          <w:szCs w:val="24"/>
        </w:rPr>
        <w:t xml:space="preserve">, </w:t>
      </w:r>
      <w:r w:rsidR="00A108C9">
        <w:rPr>
          <w:rFonts w:ascii="Palatino Linotype" w:hAnsi="Palatino Linotype"/>
          <w:sz w:val="24"/>
          <w:szCs w:val="24"/>
        </w:rPr>
        <w:t>porcentaje</w:t>
      </w:r>
      <w:r>
        <w:rPr>
          <w:rFonts w:ascii="Palatino Linotype" w:hAnsi="Palatino Linotype"/>
          <w:sz w:val="24"/>
          <w:szCs w:val="24"/>
        </w:rPr>
        <w:t xml:space="preserve"> </w:t>
      </w:r>
      <w:r w:rsidR="00A108C9">
        <w:rPr>
          <w:rFonts w:ascii="Palatino Linotype" w:hAnsi="Palatino Linotype"/>
          <w:sz w:val="24"/>
          <w:szCs w:val="24"/>
        </w:rPr>
        <w:t>y el importe recaudado, razones que la Ponencia que resolvió, consideró suficientes para sobreseer el recurso de revisión.</w:t>
      </w:r>
    </w:p>
    <w:p w:rsidR="00A108C9" w:rsidRDefault="00B9495F" w:rsidP="006D6110">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Sentido de la resolución que comparto</w:t>
      </w:r>
      <w:r w:rsidR="002B30CE">
        <w:rPr>
          <w:rFonts w:ascii="Palatino Linotype" w:hAnsi="Palatino Linotype"/>
          <w:sz w:val="24"/>
          <w:szCs w:val="24"/>
        </w:rPr>
        <w:t>,</w:t>
      </w:r>
      <w:r>
        <w:rPr>
          <w:rFonts w:ascii="Palatino Linotype" w:hAnsi="Palatino Linotype"/>
          <w:sz w:val="24"/>
          <w:szCs w:val="24"/>
        </w:rPr>
        <w:t xml:space="preserve"> </w:t>
      </w:r>
      <w:r w:rsidR="001C7FB3">
        <w:rPr>
          <w:rFonts w:ascii="Palatino Linotype" w:hAnsi="Palatino Linotype"/>
          <w:sz w:val="24"/>
          <w:szCs w:val="24"/>
        </w:rPr>
        <w:t xml:space="preserve">no obstante </w:t>
      </w:r>
      <w:r w:rsidR="002B30CE">
        <w:rPr>
          <w:rFonts w:ascii="Palatino Linotype" w:hAnsi="Palatino Linotype"/>
          <w:sz w:val="24"/>
          <w:szCs w:val="24"/>
        </w:rPr>
        <w:t>estimo necesario</w:t>
      </w:r>
      <w:r w:rsidR="00A108C9">
        <w:rPr>
          <w:rFonts w:ascii="Palatino Linotype" w:hAnsi="Palatino Linotype"/>
          <w:sz w:val="24"/>
          <w:szCs w:val="24"/>
        </w:rPr>
        <w:t xml:space="preserve"> precisar algunas consideraciones procedimentales, toda vez que como fue dicho en el párrafo que precede, las partes, y de manera específica los sujetos obligados cuentan con un plazo de siete días para rendir su informe justificado, mismo que de conformidad con el artículo 185 fracción III de la Ley de la Materia, deberá ser hecho del conocimiento del recurrente cuando se modifique la respuesta, para que en el plazo de tres días hábiles manifieste lo que a su derecho convenga.</w:t>
      </w:r>
    </w:p>
    <w:p w:rsidR="006D6110" w:rsidRDefault="006D6110" w:rsidP="00A108C9">
      <w:pPr>
        <w:autoSpaceDE w:val="0"/>
        <w:autoSpaceDN w:val="0"/>
        <w:adjustRightInd w:val="0"/>
        <w:spacing w:before="240" w:after="240" w:line="360" w:lineRule="auto"/>
        <w:ind w:right="-3"/>
        <w:jc w:val="both"/>
        <w:rPr>
          <w:rFonts w:ascii="Palatino Linotype" w:hAnsi="Palatino Linotype"/>
          <w:sz w:val="24"/>
          <w:szCs w:val="24"/>
        </w:rPr>
      </w:pPr>
      <w:r w:rsidRPr="006D6110">
        <w:rPr>
          <w:rFonts w:ascii="Palatino Linotype" w:hAnsi="Palatino Linotype"/>
          <w:sz w:val="24"/>
          <w:szCs w:val="24"/>
        </w:rPr>
        <w:t xml:space="preserve">En este </w:t>
      </w:r>
      <w:r w:rsidR="00EC17E9">
        <w:rPr>
          <w:rFonts w:ascii="Palatino Linotype" w:hAnsi="Palatino Linotype"/>
          <w:sz w:val="24"/>
          <w:szCs w:val="24"/>
        </w:rPr>
        <w:t>contexto</w:t>
      </w:r>
      <w:r w:rsidRPr="006D6110">
        <w:rPr>
          <w:rFonts w:ascii="Palatino Linotype" w:hAnsi="Palatino Linotype"/>
          <w:sz w:val="24"/>
          <w:szCs w:val="24"/>
        </w:rPr>
        <w:t xml:space="preserve">, </w:t>
      </w:r>
      <w:r w:rsidR="00A108C9">
        <w:rPr>
          <w:rFonts w:ascii="Palatino Linotype" w:hAnsi="Palatino Linotype"/>
          <w:sz w:val="24"/>
          <w:szCs w:val="24"/>
        </w:rPr>
        <w:t>consider</w:t>
      </w:r>
      <w:r w:rsidR="00EC17E9">
        <w:rPr>
          <w:rFonts w:ascii="Palatino Linotype" w:hAnsi="Palatino Linotype"/>
          <w:sz w:val="24"/>
          <w:szCs w:val="24"/>
        </w:rPr>
        <w:t>o</w:t>
      </w:r>
      <w:r w:rsidR="00A108C9">
        <w:rPr>
          <w:rFonts w:ascii="Palatino Linotype" w:hAnsi="Palatino Linotype"/>
          <w:sz w:val="24"/>
          <w:szCs w:val="24"/>
        </w:rPr>
        <w:t xml:space="preserve"> que se coloca al recurrente en estado de indefensión, al encontrarse imposibilitado para combatir las argumentaciones contenidas en el </w:t>
      </w:r>
      <w:r w:rsidR="00A108C9">
        <w:rPr>
          <w:rFonts w:ascii="Palatino Linotype" w:hAnsi="Palatino Linotype"/>
          <w:sz w:val="24"/>
          <w:szCs w:val="24"/>
        </w:rPr>
        <w:lastRenderedPageBreak/>
        <w:t>informe justificado, esto es así, resultado de no haberse hecho de</w:t>
      </w:r>
      <w:r w:rsidR="00165DE3">
        <w:rPr>
          <w:rFonts w:ascii="Palatino Linotype" w:hAnsi="Palatino Linotype"/>
          <w:sz w:val="24"/>
          <w:szCs w:val="24"/>
        </w:rPr>
        <w:t>l</w:t>
      </w:r>
      <w:r w:rsidR="00A108C9">
        <w:rPr>
          <w:rFonts w:ascii="Palatino Linotype" w:hAnsi="Palatino Linotype"/>
          <w:sz w:val="24"/>
          <w:szCs w:val="24"/>
        </w:rPr>
        <w:t xml:space="preserve"> conocimiento </w:t>
      </w:r>
      <w:r w:rsidR="00165DE3">
        <w:rPr>
          <w:rFonts w:ascii="Palatino Linotype" w:hAnsi="Palatino Linotype"/>
          <w:sz w:val="24"/>
          <w:szCs w:val="24"/>
        </w:rPr>
        <w:t>del particular el documento que determinó sobreseer el recurso de revisión.</w:t>
      </w:r>
    </w:p>
    <w:p w:rsidR="00D95B00" w:rsidRDefault="00D95B00" w:rsidP="00A108C9">
      <w:pPr>
        <w:autoSpaceDE w:val="0"/>
        <w:autoSpaceDN w:val="0"/>
        <w:adjustRightInd w:val="0"/>
        <w:spacing w:before="240" w:after="240" w:line="360" w:lineRule="auto"/>
        <w:ind w:right="-3"/>
        <w:jc w:val="both"/>
        <w:rPr>
          <w:rFonts w:ascii="Palatino Linotype" w:hAnsi="Palatino Linotype"/>
          <w:sz w:val="24"/>
          <w:szCs w:val="24"/>
        </w:rPr>
      </w:pPr>
      <w:r>
        <w:rPr>
          <w:rFonts w:ascii="Palatino Linotype" w:hAnsi="Palatino Linotype"/>
          <w:sz w:val="24"/>
          <w:szCs w:val="24"/>
        </w:rPr>
        <w:t xml:space="preserve">Actuación que trae implícita en sí misma un acto de inconstitucionalidad, al no permitir que el particular se pudiera pronunciar sobre la información novedosa, toda vez que si nos remitimos al contenido del artículo 14 de la Constitución Política de los Estados Unidos Mexicanos, </w:t>
      </w:r>
      <w:r w:rsidR="00773E96">
        <w:rPr>
          <w:rFonts w:ascii="Palatino Linotype" w:hAnsi="Palatino Linotype"/>
          <w:sz w:val="24"/>
          <w:szCs w:val="24"/>
        </w:rPr>
        <w:t>nos encontramos ante un precepto jurídico que tutela los derechos fundamentales de los gobernados, al establecer lo que reza así:</w:t>
      </w:r>
    </w:p>
    <w:p w:rsidR="00773E96" w:rsidRPr="00A769BF" w:rsidRDefault="00773E96" w:rsidP="00773E96">
      <w:pPr>
        <w:tabs>
          <w:tab w:val="left" w:pos="709"/>
          <w:tab w:val="left" w:pos="993"/>
        </w:tabs>
        <w:spacing w:line="360" w:lineRule="auto"/>
        <w:ind w:left="851" w:right="990"/>
        <w:jc w:val="both"/>
        <w:rPr>
          <w:rFonts w:ascii="Palatino Linotype" w:hAnsi="Palatino Linotype" w:cs="Arial"/>
          <w:i/>
        </w:rPr>
      </w:pPr>
      <w:r w:rsidRPr="00A769BF">
        <w:rPr>
          <w:rFonts w:ascii="Palatino Linotype" w:hAnsi="Palatino Linotype" w:cs="Arial"/>
          <w:b/>
          <w:i/>
        </w:rPr>
        <w:t>“Artículo 14.</w:t>
      </w:r>
      <w:r w:rsidRPr="00A769BF">
        <w:rPr>
          <w:rFonts w:ascii="Palatino Linotype" w:hAnsi="Palatino Linotype" w:cs="Arial"/>
          <w:i/>
        </w:rPr>
        <w:t xml:space="preserve"> … A ninguna ley se dará efecto retroactivo en perjuicio de persona alguna. 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rsidR="006C6824" w:rsidRPr="006C6824" w:rsidRDefault="00773E96" w:rsidP="006F4F52">
      <w:pPr>
        <w:spacing w:line="360" w:lineRule="auto"/>
        <w:jc w:val="both"/>
        <w:rPr>
          <w:rFonts w:ascii="Palatino Linotype" w:hAnsi="Palatino Linotype"/>
          <w:sz w:val="24"/>
          <w:szCs w:val="24"/>
        </w:rPr>
      </w:pPr>
      <w:r w:rsidRPr="00773E96">
        <w:rPr>
          <w:rFonts w:ascii="Palatino Linotype" w:hAnsi="Palatino Linotype" w:cs="Arial"/>
          <w:sz w:val="24"/>
          <w:szCs w:val="24"/>
        </w:rPr>
        <w:t>De la transcripción anterior p</w:t>
      </w:r>
      <w:r>
        <w:rPr>
          <w:rFonts w:ascii="Palatino Linotype" w:hAnsi="Palatino Linotype" w:cs="Arial"/>
          <w:sz w:val="24"/>
          <w:szCs w:val="24"/>
        </w:rPr>
        <w:t>uede</w:t>
      </w:r>
      <w:r w:rsidRPr="00773E96">
        <w:rPr>
          <w:rFonts w:ascii="Palatino Linotype" w:hAnsi="Palatino Linotype" w:cs="Arial"/>
          <w:sz w:val="24"/>
          <w:szCs w:val="24"/>
        </w:rPr>
        <w:t xml:space="preserve"> advertirse que </w:t>
      </w:r>
      <w:r>
        <w:rPr>
          <w:rFonts w:ascii="Palatino Linotype" w:hAnsi="Palatino Linotype" w:cs="Arial"/>
          <w:sz w:val="24"/>
          <w:szCs w:val="24"/>
        </w:rPr>
        <w:t xml:space="preserve">el </w:t>
      </w:r>
      <w:r w:rsidRPr="00773E96">
        <w:rPr>
          <w:rFonts w:ascii="Palatino Linotype" w:hAnsi="Palatino Linotype" w:cs="Arial"/>
          <w:sz w:val="24"/>
          <w:szCs w:val="24"/>
        </w:rPr>
        <w:t xml:space="preserve">texto del artículo 14 Constitucional es muy amplio, </w:t>
      </w:r>
      <w:r>
        <w:rPr>
          <w:rFonts w:ascii="Palatino Linotype" w:hAnsi="Palatino Linotype" w:cs="Arial"/>
          <w:sz w:val="24"/>
          <w:szCs w:val="24"/>
        </w:rPr>
        <w:t>sin embargo, establece un eje principal que es la protección a</w:t>
      </w:r>
      <w:r w:rsidRPr="00773E96">
        <w:rPr>
          <w:rFonts w:ascii="Palatino Linotype" w:hAnsi="Palatino Linotype" w:cs="Arial"/>
          <w:sz w:val="24"/>
          <w:szCs w:val="24"/>
        </w:rPr>
        <w:t xml:space="preserve"> los </w:t>
      </w:r>
      <w:r>
        <w:rPr>
          <w:rFonts w:ascii="Palatino Linotype" w:hAnsi="Palatino Linotype" w:cs="Arial"/>
          <w:sz w:val="24"/>
          <w:szCs w:val="24"/>
        </w:rPr>
        <w:t xml:space="preserve">derechos de los </w:t>
      </w:r>
      <w:r w:rsidRPr="00773E96">
        <w:rPr>
          <w:rFonts w:ascii="Palatino Linotype" w:hAnsi="Palatino Linotype" w:cs="Arial"/>
          <w:sz w:val="24"/>
          <w:szCs w:val="24"/>
        </w:rPr>
        <w:t xml:space="preserve">individuos, cualesquiera que sean éstos; por consiguiente las formalidades esenciales del procedimiento son las de conducir el propio </w:t>
      </w:r>
      <w:r w:rsidR="006C6824">
        <w:rPr>
          <w:rFonts w:ascii="Palatino Linotype" w:hAnsi="Palatino Linotype" w:cs="Arial"/>
          <w:sz w:val="24"/>
          <w:szCs w:val="24"/>
        </w:rPr>
        <w:t>procedimiento</w:t>
      </w:r>
      <w:r w:rsidRPr="00773E96">
        <w:rPr>
          <w:rFonts w:ascii="Palatino Linotype" w:hAnsi="Palatino Linotype" w:cs="Arial"/>
          <w:sz w:val="24"/>
          <w:szCs w:val="24"/>
        </w:rPr>
        <w:t xml:space="preserve"> con las condiciones legales que debe guiar todo proceso legal, ello para otorgar al posible afectado una razonable oportunidad de defensa; para dar cabal cumplimiento a la </w:t>
      </w:r>
      <w:r w:rsidRPr="006C6824">
        <w:rPr>
          <w:rFonts w:ascii="Palatino Linotype" w:hAnsi="Palatino Linotype" w:cs="Arial"/>
          <w:sz w:val="24"/>
          <w:szCs w:val="24"/>
        </w:rPr>
        <w:t>garantía</w:t>
      </w:r>
      <w:r w:rsidR="006C6824">
        <w:rPr>
          <w:rFonts w:ascii="Palatino Linotype" w:hAnsi="Palatino Linotype" w:cs="Arial"/>
          <w:sz w:val="24"/>
          <w:szCs w:val="24"/>
        </w:rPr>
        <w:t>s</w:t>
      </w:r>
      <w:r w:rsidRPr="006C6824">
        <w:rPr>
          <w:rFonts w:ascii="Palatino Linotype" w:hAnsi="Palatino Linotype" w:cs="Arial"/>
          <w:sz w:val="24"/>
          <w:szCs w:val="24"/>
        </w:rPr>
        <w:t xml:space="preserve"> de seguridad </w:t>
      </w:r>
      <w:r w:rsidR="006C6824">
        <w:rPr>
          <w:rFonts w:ascii="Palatino Linotype" w:hAnsi="Palatino Linotype" w:cs="Arial"/>
          <w:sz w:val="24"/>
          <w:szCs w:val="24"/>
        </w:rPr>
        <w:t xml:space="preserve">y certeza </w:t>
      </w:r>
      <w:r w:rsidRPr="006C6824">
        <w:rPr>
          <w:rFonts w:ascii="Palatino Linotype" w:hAnsi="Palatino Linotype" w:cs="Arial"/>
          <w:sz w:val="24"/>
          <w:szCs w:val="24"/>
        </w:rPr>
        <w:t>jurídica.</w:t>
      </w:r>
      <w:r w:rsidR="006C6824">
        <w:rPr>
          <w:rFonts w:ascii="Palatino Linotype" w:hAnsi="Palatino Linotype" w:cs="Arial"/>
          <w:sz w:val="24"/>
          <w:szCs w:val="24"/>
        </w:rPr>
        <w:t xml:space="preserve"> Concebido el principio </w:t>
      </w:r>
      <w:r w:rsidR="006C6824" w:rsidRPr="006C6824">
        <w:rPr>
          <w:rFonts w:ascii="Palatino Linotype" w:hAnsi="Palatino Linotype" w:cs="Arial"/>
          <w:sz w:val="24"/>
          <w:szCs w:val="24"/>
        </w:rPr>
        <w:t xml:space="preserve">de </w:t>
      </w:r>
      <w:r w:rsidR="006F4F52">
        <w:rPr>
          <w:rFonts w:ascii="Palatino Linotype" w:hAnsi="Palatino Linotype"/>
          <w:sz w:val="24"/>
          <w:szCs w:val="24"/>
        </w:rPr>
        <w:t xml:space="preserve">seguridad jurídica, </w:t>
      </w:r>
      <w:r w:rsidR="006C6824" w:rsidRPr="006C6824">
        <w:rPr>
          <w:rFonts w:ascii="Palatino Linotype" w:hAnsi="Palatino Linotype"/>
          <w:sz w:val="24"/>
          <w:szCs w:val="24"/>
        </w:rPr>
        <w:t xml:space="preserve">como la garantía que se otorga a todo individuo, de </w:t>
      </w:r>
      <w:r w:rsidR="006C6824" w:rsidRPr="006C6824">
        <w:rPr>
          <w:rFonts w:ascii="Palatino Linotype" w:hAnsi="Palatino Linotype"/>
          <w:sz w:val="24"/>
          <w:szCs w:val="24"/>
        </w:rPr>
        <w:lastRenderedPageBreak/>
        <w:t>que la norma será cumplida</w:t>
      </w:r>
      <w:r w:rsidR="006F4F52">
        <w:rPr>
          <w:rFonts w:ascii="Palatino Linotype" w:hAnsi="Palatino Linotype"/>
          <w:sz w:val="24"/>
          <w:szCs w:val="24"/>
        </w:rPr>
        <w:t>;</w:t>
      </w:r>
      <w:r w:rsidR="006C6824" w:rsidRPr="006C6824">
        <w:rPr>
          <w:rFonts w:ascii="Palatino Linotype" w:hAnsi="Palatino Linotype"/>
          <w:sz w:val="24"/>
          <w:szCs w:val="24"/>
        </w:rPr>
        <w:t xml:space="preserve"> mientras que la certeza jurídica</w:t>
      </w:r>
      <w:r w:rsidR="006F4F52">
        <w:rPr>
          <w:rFonts w:ascii="Palatino Linotype" w:hAnsi="Palatino Linotype"/>
          <w:sz w:val="24"/>
          <w:szCs w:val="24"/>
        </w:rPr>
        <w:t>,</w:t>
      </w:r>
      <w:r w:rsidR="006C6824" w:rsidRPr="006C6824">
        <w:rPr>
          <w:rFonts w:ascii="Palatino Linotype" w:hAnsi="Palatino Linotype"/>
          <w:sz w:val="24"/>
          <w:szCs w:val="24"/>
        </w:rPr>
        <w:t xml:space="preserve"> como el principio que precave al ciudadano de actuaciones arbitrarias frente al derecho en cuestión.</w:t>
      </w:r>
    </w:p>
    <w:p w:rsidR="006C6824" w:rsidRPr="00773E96" w:rsidRDefault="006F4F52" w:rsidP="00773E96">
      <w:pPr>
        <w:spacing w:line="360" w:lineRule="auto"/>
        <w:jc w:val="both"/>
        <w:rPr>
          <w:rFonts w:ascii="Palatino Linotype" w:hAnsi="Palatino Linotype" w:cs="Arial"/>
          <w:sz w:val="24"/>
          <w:szCs w:val="24"/>
        </w:rPr>
      </w:pPr>
      <w:r>
        <w:rPr>
          <w:rFonts w:ascii="Palatino Linotype" w:hAnsi="Palatino Linotype" w:cs="Arial"/>
          <w:sz w:val="24"/>
          <w:szCs w:val="24"/>
        </w:rPr>
        <w:t>Cuestiones que hacen posible establecer que en el caso, la norma no se cumplió a favor del particular, en virtud de que se pasó por alto lo prescrito en la Ley de la Materia, al omitir la Ponencia que resuelve, hacer del conocimiento del particular, los plasmado en el informe justifi</w:t>
      </w:r>
      <w:r w:rsidR="00FB24D8">
        <w:rPr>
          <w:rFonts w:ascii="Palatino Linotype" w:hAnsi="Palatino Linotype" w:cs="Arial"/>
          <w:sz w:val="24"/>
          <w:szCs w:val="24"/>
        </w:rPr>
        <w:t>cado y en los documentos que lo</w:t>
      </w:r>
      <w:r>
        <w:rPr>
          <w:rFonts w:ascii="Palatino Linotype" w:hAnsi="Palatino Linotype" w:cs="Arial"/>
          <w:sz w:val="24"/>
          <w:szCs w:val="24"/>
        </w:rPr>
        <w:t xml:space="preserve"> acompañan para que este a su vez pudiera manifestar lo que a su derecho conviniera, garantizando así el principio de seguridad jurídica al que todos los gobernados tienen derecho.</w:t>
      </w:r>
    </w:p>
    <w:p w:rsidR="00773E96" w:rsidRDefault="006F4F52" w:rsidP="004F75CC">
      <w:pPr>
        <w:spacing w:before="240" w:after="240" w:line="360" w:lineRule="auto"/>
        <w:jc w:val="both"/>
        <w:rPr>
          <w:rFonts w:ascii="Palatino Linotype" w:hAnsi="Palatino Linotype" w:cs="Arial"/>
          <w:sz w:val="24"/>
          <w:szCs w:val="24"/>
        </w:rPr>
      </w:pPr>
      <w:r w:rsidRPr="005857E0">
        <w:rPr>
          <w:rFonts w:ascii="Palatino Linotype" w:hAnsi="Palatino Linotype" w:cs="Arial"/>
          <w:sz w:val="24"/>
          <w:szCs w:val="24"/>
        </w:rPr>
        <w:t>Por lo tanto, dicha garantía no se debe entender como una simple comunicación a la parte afectada para que tenga conocimiento de un acto que lo puede perjudicar, sino que es necesario darle a conocer el acto de forma completa, clara y abierta, esto es, dar la oportunidad de controvertir las actuaciones que de forma tajante dejen sin materia el medio de impugnación, asimismo, en saber a qué atenerse, con tal grado de certidumbre que no quede en estado de indefensión.</w:t>
      </w:r>
    </w:p>
    <w:p w:rsidR="004F75CC" w:rsidRPr="004F75CC" w:rsidRDefault="004F75CC" w:rsidP="004F75CC">
      <w:pPr>
        <w:spacing w:before="240" w:after="240" w:line="360" w:lineRule="auto"/>
        <w:jc w:val="both"/>
        <w:rPr>
          <w:rFonts w:ascii="Palatino Linotype" w:hAnsi="Palatino Linotype" w:cs="Arial"/>
          <w:i/>
          <w:sz w:val="24"/>
          <w:szCs w:val="24"/>
        </w:rPr>
      </w:pPr>
      <w:r>
        <w:rPr>
          <w:rFonts w:ascii="Palatino Linotype" w:hAnsi="Palatino Linotype" w:cs="Arial"/>
          <w:sz w:val="24"/>
          <w:szCs w:val="24"/>
        </w:rPr>
        <w:t xml:space="preserve">En ese contexto, cabe recordar que el </w:t>
      </w:r>
      <w:r w:rsidRPr="009C42ED">
        <w:rPr>
          <w:rFonts w:ascii="Palatino Linotype" w:hAnsi="Palatino Linotype" w:cs="Arial"/>
          <w:sz w:val="24"/>
          <w:szCs w:val="24"/>
        </w:rPr>
        <w:t>proceso está constituido</w:t>
      </w:r>
      <w:r>
        <w:rPr>
          <w:rFonts w:ascii="Palatino Linotype" w:hAnsi="Palatino Linotype" w:cs="Arial"/>
          <w:sz w:val="24"/>
          <w:szCs w:val="24"/>
        </w:rPr>
        <w:t xml:space="preserve">: </w:t>
      </w:r>
      <w:r w:rsidRPr="009C42ED">
        <w:rPr>
          <w:rFonts w:ascii="Palatino Linotype" w:hAnsi="Palatino Linotype" w:cs="Arial"/>
          <w:sz w:val="24"/>
          <w:szCs w:val="24"/>
        </w:rPr>
        <w:t>por la existencia y subsistencia de un litigio entre partes, que en l</w:t>
      </w:r>
      <w:r>
        <w:rPr>
          <w:rFonts w:ascii="Palatino Linotype" w:hAnsi="Palatino Linotype" w:cs="Arial"/>
          <w:sz w:val="24"/>
          <w:szCs w:val="24"/>
        </w:rPr>
        <w:t xml:space="preserve">a definición de Carnelutti </w:t>
      </w:r>
      <w:r w:rsidRPr="004F75CC">
        <w:rPr>
          <w:rFonts w:ascii="Palatino Linotype" w:hAnsi="Palatino Linotype" w:cs="Arial"/>
          <w:i/>
          <w:sz w:val="24"/>
          <w:szCs w:val="24"/>
        </w:rPr>
        <w:t>"…es el conflicto de intereses calificado por la pretensión de uno de los interesados y la resistencia del otro, toda vez que esta oposición de intereses es lo que constituye la materia del proceso..."</w:t>
      </w:r>
    </w:p>
    <w:p w:rsidR="004F75CC" w:rsidRDefault="004F75CC" w:rsidP="004F75C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De manera, que si bien, en el asunto que es materia de la resolución que trajo consigo la emisión del presente voto particular, se puede advertir que el sujeto obligado </w:t>
      </w:r>
      <w:r>
        <w:rPr>
          <w:rFonts w:ascii="Palatino Linotype" w:hAnsi="Palatino Linotype" w:cs="Arial"/>
          <w:sz w:val="24"/>
          <w:szCs w:val="24"/>
        </w:rPr>
        <w:lastRenderedPageBreak/>
        <w:t>modificó la respuesta, y con ello cesaron, desaparecieron o se extinguieron las causas que dieron origen al recurso de revisión ante el</w:t>
      </w:r>
      <w:r w:rsidRPr="0055120A">
        <w:rPr>
          <w:rFonts w:ascii="Palatino Linotype" w:hAnsi="Palatino Linotype" w:cs="Arial"/>
          <w:sz w:val="24"/>
          <w:szCs w:val="24"/>
        </w:rPr>
        <w:t xml:space="preserve"> surgimiento de una cuestión que deja sin materia el medio ejercido por el recurrente</w:t>
      </w:r>
      <w:r>
        <w:rPr>
          <w:rFonts w:ascii="Palatino Linotype" w:hAnsi="Palatino Linotype" w:cs="Arial"/>
          <w:sz w:val="24"/>
          <w:szCs w:val="24"/>
        </w:rPr>
        <w:t>, también lo es que existe un derecho superior</w:t>
      </w:r>
      <w:r w:rsidR="00B1786D">
        <w:rPr>
          <w:rFonts w:ascii="Palatino Linotype" w:hAnsi="Palatino Linotype" w:cs="Arial"/>
          <w:sz w:val="24"/>
          <w:szCs w:val="24"/>
        </w:rPr>
        <w:t>, legalmente reconocido tanto en nuestra Carta Magna como en la propia de Ley de Transparencia y Acceso a la Información Pública del Estado de México y Municipios que faculta a los particulares para acceder a la información en posesión de los sujetos obligados que en el ejercicio de sus funciones y/o atribuciones generen, administren o posean; y que en la afectación de tal derecho, otorga la garantía secundaria del recurso de revisión, para reparar cualquier posible afectación, que procede en contra de cualquiera de las causas enmarcadas en el artículo 179 de la Ley en comento.</w:t>
      </w:r>
    </w:p>
    <w:p w:rsidR="00B1786D" w:rsidRDefault="00B1786D" w:rsidP="004F75C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Recurso de revisión que debe ser resuelto conforme a lo siguiente:</w:t>
      </w:r>
    </w:p>
    <w:p w:rsidR="00B1786D" w:rsidRPr="00A769BF" w:rsidRDefault="00B1786D" w:rsidP="00B1786D">
      <w:pPr>
        <w:spacing w:after="120" w:line="240" w:lineRule="auto"/>
        <w:ind w:left="851" w:right="992"/>
        <w:jc w:val="both"/>
        <w:rPr>
          <w:rFonts w:ascii="Palatino Linotype" w:hAnsi="Palatino Linotype"/>
          <w:i/>
        </w:rPr>
      </w:pPr>
      <w:r w:rsidRPr="00A769BF">
        <w:rPr>
          <w:rFonts w:ascii="Palatino Linotype" w:hAnsi="Palatino Linotype"/>
          <w:b/>
          <w:i/>
        </w:rPr>
        <w:t>“Artículo 185.</w:t>
      </w:r>
      <w:r w:rsidRPr="00A769BF">
        <w:rPr>
          <w:rFonts w:ascii="Palatino Linotype" w:hAnsi="Palatino Linotype"/>
          <w:i/>
        </w:rPr>
        <w:t xml:space="preserve"> El Instituto resolverá el recurso de revisión conforme a lo siguiente:</w:t>
      </w:r>
    </w:p>
    <w:p w:rsidR="00B1786D" w:rsidRPr="00A769BF" w:rsidRDefault="00B1786D" w:rsidP="00B1786D">
      <w:pPr>
        <w:spacing w:after="120" w:line="240" w:lineRule="auto"/>
        <w:ind w:left="1134" w:right="992"/>
        <w:jc w:val="both"/>
        <w:rPr>
          <w:rFonts w:ascii="Palatino Linotype" w:hAnsi="Palatino Linotype"/>
          <w:i/>
        </w:rPr>
      </w:pPr>
      <w:r w:rsidRPr="00A769BF">
        <w:rPr>
          <w:rFonts w:ascii="Palatino Linotype" w:hAnsi="Palatino Linotype"/>
          <w:i/>
        </w:rPr>
        <w:t xml:space="preserve">I.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 </w:t>
      </w:r>
    </w:p>
    <w:p w:rsidR="00B1786D" w:rsidRPr="00A769BF" w:rsidRDefault="00B1786D" w:rsidP="00B1786D">
      <w:pPr>
        <w:spacing w:after="120" w:line="240" w:lineRule="auto"/>
        <w:ind w:left="1134" w:right="992"/>
        <w:jc w:val="both"/>
        <w:rPr>
          <w:rFonts w:ascii="Palatino Linotype" w:hAnsi="Palatino Linotype"/>
          <w:i/>
        </w:rPr>
      </w:pPr>
      <w:r w:rsidRPr="00A769BF">
        <w:rPr>
          <w:rFonts w:ascii="Palatino Linotype" w:hAnsi="Palatino Linotype"/>
          <w:i/>
        </w:rPr>
        <w:t xml:space="preserve">II. Admitido el recurso de revisión, la o el Comisionado ponente deberá integrar un expediente y ponerlo a disposición de las partes, para que, en un plazo máximo de siete días hábiles, manifiesten lo que a su derecho convenga; </w:t>
      </w:r>
    </w:p>
    <w:p w:rsidR="00B1786D" w:rsidRPr="00A769BF" w:rsidRDefault="00B1786D" w:rsidP="00B1786D">
      <w:pPr>
        <w:spacing w:after="120" w:line="240" w:lineRule="auto"/>
        <w:ind w:left="1134" w:right="992"/>
        <w:jc w:val="both"/>
        <w:rPr>
          <w:rFonts w:ascii="Palatino Linotype" w:hAnsi="Palatino Linotype"/>
          <w:i/>
        </w:rPr>
      </w:pPr>
      <w:r w:rsidRPr="00A769BF">
        <w:rPr>
          <w:rFonts w:ascii="Palatino Linotype" w:hAnsi="Palatino Linotype"/>
          <w:i/>
        </w:rPr>
        <w:t xml:space="preserve">III. Recibido el informe justificado, cuando se modifique la respuesta, este se pondrá a disposición del recurrente para que en un plazo de tres días hábiles, manifieste lo que a su derecho convenga; </w:t>
      </w:r>
    </w:p>
    <w:p w:rsidR="00B1786D" w:rsidRPr="00A769BF" w:rsidRDefault="00B1786D" w:rsidP="00B1786D">
      <w:pPr>
        <w:spacing w:after="120" w:line="240" w:lineRule="auto"/>
        <w:ind w:left="1134" w:right="992"/>
        <w:jc w:val="both"/>
        <w:rPr>
          <w:rFonts w:ascii="Palatino Linotype" w:hAnsi="Palatino Linotype"/>
          <w:i/>
        </w:rPr>
      </w:pPr>
      <w:r w:rsidRPr="00A769BF">
        <w:rPr>
          <w:rFonts w:ascii="Palatino Linotype" w:hAnsi="Palatino Linotype"/>
          <w:i/>
        </w:rPr>
        <w:lastRenderedPageBreak/>
        <w:t xml:space="preserve">IV. Dentro del plazo mencionado en la fracción II, las partes podrán ofrecer todo tipo de pruebas o alegatos excepto la confesional por parte de los sujetos obligados y aquéllas que sean contrarias a derecho; </w:t>
      </w:r>
    </w:p>
    <w:p w:rsidR="00B1786D" w:rsidRPr="00A769BF" w:rsidRDefault="00B1786D" w:rsidP="00B1786D">
      <w:pPr>
        <w:spacing w:after="120" w:line="240" w:lineRule="auto"/>
        <w:ind w:left="1134" w:right="992"/>
        <w:jc w:val="both"/>
        <w:rPr>
          <w:rFonts w:ascii="Palatino Linotype" w:hAnsi="Palatino Linotype"/>
          <w:i/>
        </w:rPr>
      </w:pPr>
      <w:r w:rsidRPr="00A769BF">
        <w:rPr>
          <w:rFonts w:ascii="Palatino Linotype" w:hAnsi="Palatino Linotype"/>
          <w:i/>
        </w:rPr>
        <w:t xml:space="preserve">V. La o el Comisionado ponente podrá determinar la celebración de audiencias con las partes durante la sustanciación del recurso de revisión; </w:t>
      </w:r>
    </w:p>
    <w:p w:rsidR="00B1786D" w:rsidRPr="00A769BF" w:rsidRDefault="00B1786D" w:rsidP="00B1786D">
      <w:pPr>
        <w:spacing w:after="120" w:line="240" w:lineRule="auto"/>
        <w:ind w:left="1134" w:right="992"/>
        <w:jc w:val="both"/>
        <w:rPr>
          <w:rFonts w:ascii="Palatino Linotype" w:hAnsi="Palatino Linotype"/>
          <w:i/>
        </w:rPr>
      </w:pPr>
      <w:r w:rsidRPr="00A769BF">
        <w:rPr>
          <w:rFonts w:ascii="Palatino Linotype" w:hAnsi="Palatino Linotype"/>
          <w:i/>
        </w:rPr>
        <w:t xml:space="preserve">VI. Concluido el plazo señalado en la fracción II del presente artículo, la o el Comisionado ponente procederá a decretar el cierre de instrucción; </w:t>
      </w:r>
    </w:p>
    <w:p w:rsidR="00B1786D" w:rsidRPr="00A769BF" w:rsidRDefault="00B1786D" w:rsidP="00B1786D">
      <w:pPr>
        <w:spacing w:after="120" w:line="240" w:lineRule="auto"/>
        <w:ind w:left="1134" w:right="992"/>
        <w:jc w:val="both"/>
        <w:rPr>
          <w:rFonts w:ascii="Palatino Linotype" w:hAnsi="Palatino Linotype"/>
          <w:i/>
        </w:rPr>
      </w:pPr>
      <w:r w:rsidRPr="00A769BF">
        <w:rPr>
          <w:rFonts w:ascii="Palatino Linotype" w:hAnsi="Palatino Linotype"/>
          <w:i/>
        </w:rPr>
        <w:t xml:space="preserve">VII. El Instituto no estará obligado a atender la información remitida por el sujeto obligado una vez decretado el cierre de instrucción; y </w:t>
      </w:r>
    </w:p>
    <w:p w:rsidR="00B1786D" w:rsidRPr="00A769BF" w:rsidRDefault="00B1786D" w:rsidP="00B1786D">
      <w:pPr>
        <w:spacing w:after="120" w:line="240" w:lineRule="auto"/>
        <w:ind w:left="1134" w:right="992"/>
        <w:jc w:val="both"/>
        <w:rPr>
          <w:rFonts w:ascii="Palatino Linotype" w:hAnsi="Palatino Linotype" w:cs="Arial"/>
          <w:i/>
        </w:rPr>
      </w:pPr>
      <w:r w:rsidRPr="00A769BF">
        <w:rPr>
          <w:rFonts w:ascii="Palatino Linotype" w:hAnsi="Palatino Linotype"/>
          <w:i/>
        </w:rPr>
        <w:t>VIII. Decretado el cierre de instrucción, el expediente pasará a resolución, en un plazo que no podrá exceder de veinte días hábiles.”</w:t>
      </w:r>
    </w:p>
    <w:p w:rsidR="00BD3F99" w:rsidRDefault="006D6110" w:rsidP="00BD3F99">
      <w:pPr>
        <w:spacing w:before="240" w:after="240" w:line="360" w:lineRule="auto"/>
        <w:jc w:val="both"/>
        <w:rPr>
          <w:rFonts w:ascii="Palatino Linotype" w:hAnsi="Palatino Linotype" w:cs="Arial"/>
          <w:sz w:val="24"/>
          <w:szCs w:val="24"/>
        </w:rPr>
      </w:pPr>
      <w:r>
        <w:rPr>
          <w:rFonts w:ascii="Palatino Linotype" w:hAnsi="Palatino Linotype"/>
          <w:sz w:val="24"/>
          <w:szCs w:val="24"/>
        </w:rPr>
        <w:t>Bajo este contexto,</w:t>
      </w:r>
      <w:r w:rsidR="00BD3F99">
        <w:rPr>
          <w:rFonts w:ascii="Palatino Linotype" w:hAnsi="Palatino Linotype"/>
          <w:sz w:val="24"/>
          <w:szCs w:val="24"/>
        </w:rPr>
        <w:t xml:space="preserve"> </w:t>
      </w:r>
      <w:r w:rsidR="00BD3F99" w:rsidRPr="005857E0">
        <w:rPr>
          <w:rFonts w:ascii="Palatino Linotype" w:hAnsi="Palatino Linotype" w:cs="Arial"/>
          <w:sz w:val="24"/>
          <w:szCs w:val="24"/>
        </w:rPr>
        <w:t xml:space="preserve">la figura de la notificación, </w:t>
      </w:r>
      <w:r w:rsidR="00BD3F99">
        <w:rPr>
          <w:rFonts w:ascii="Palatino Linotype" w:hAnsi="Palatino Linotype" w:cs="Arial"/>
          <w:sz w:val="24"/>
          <w:szCs w:val="24"/>
        </w:rPr>
        <w:t>es</w:t>
      </w:r>
      <w:r w:rsidR="00BD3F99" w:rsidRPr="005857E0">
        <w:rPr>
          <w:rFonts w:ascii="Palatino Linotype" w:hAnsi="Palatino Linotype" w:cs="Arial"/>
          <w:sz w:val="24"/>
          <w:szCs w:val="24"/>
        </w:rPr>
        <w:t xml:space="preserve"> un acto revestido de formalidades, que tienen por objeto, principalmente, el seguimiento obligatorio de un protocolo que el legislador ha considerado suficiente para presumir con alta probabilidad, que el destinatario ha tenido conocimiento completo del acto a notificar.</w:t>
      </w:r>
    </w:p>
    <w:p w:rsidR="00BD3F99" w:rsidRDefault="00BD3F99" w:rsidP="00BD3F99">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En las relatadas circunstancias, </w:t>
      </w:r>
      <w:r w:rsidR="00B1786D">
        <w:rPr>
          <w:rFonts w:ascii="Palatino Linotype" w:hAnsi="Palatino Linotype" w:cs="Arial"/>
          <w:sz w:val="24"/>
          <w:szCs w:val="24"/>
        </w:rPr>
        <w:t>la</w:t>
      </w:r>
      <w:r w:rsidR="00B1786D" w:rsidRPr="0055120A">
        <w:rPr>
          <w:rFonts w:ascii="Palatino Linotype" w:hAnsi="Palatino Linotype" w:cs="Arial"/>
          <w:sz w:val="24"/>
          <w:szCs w:val="24"/>
        </w:rPr>
        <w:t xml:space="preserve"> causa que me aparta de contenido a plenitud de la resolución que se dictó, es en torno a una posible vulneración del derecho del particular, al no habe</w:t>
      </w:r>
      <w:r w:rsidR="00B1786D">
        <w:rPr>
          <w:rFonts w:ascii="Palatino Linotype" w:hAnsi="Palatino Linotype" w:cs="Arial"/>
          <w:sz w:val="24"/>
          <w:szCs w:val="24"/>
        </w:rPr>
        <w:t xml:space="preserve">rse hecho de su conocimiento la información </w:t>
      </w:r>
      <w:r>
        <w:rPr>
          <w:rFonts w:ascii="Palatino Linotype" w:hAnsi="Palatino Linotype" w:cs="Arial"/>
          <w:sz w:val="24"/>
          <w:szCs w:val="24"/>
        </w:rPr>
        <w:t>enviada mediante</w:t>
      </w:r>
      <w:r w:rsidR="00B1786D">
        <w:rPr>
          <w:rFonts w:ascii="Palatino Linotype" w:hAnsi="Palatino Linotype" w:cs="Arial"/>
          <w:sz w:val="24"/>
          <w:szCs w:val="24"/>
        </w:rPr>
        <w:t xml:space="preserve"> el informe justificado</w:t>
      </w:r>
      <w:r w:rsidR="00B1786D" w:rsidRPr="0055120A">
        <w:rPr>
          <w:rFonts w:ascii="Palatino Linotype" w:hAnsi="Palatino Linotype" w:cs="Arial"/>
          <w:sz w:val="24"/>
          <w:szCs w:val="24"/>
        </w:rPr>
        <w:t xml:space="preserve"> que</w:t>
      </w:r>
      <w:r>
        <w:rPr>
          <w:rFonts w:ascii="Palatino Linotype" w:hAnsi="Palatino Linotype" w:cs="Arial"/>
          <w:sz w:val="24"/>
          <w:szCs w:val="24"/>
        </w:rPr>
        <w:t xml:space="preserve"> modifica la respuesta de origen </w:t>
      </w:r>
      <w:r w:rsidRPr="005857E0">
        <w:rPr>
          <w:rFonts w:ascii="Palatino Linotype" w:hAnsi="Palatino Linotype" w:cs="Arial"/>
          <w:sz w:val="24"/>
          <w:szCs w:val="24"/>
        </w:rPr>
        <w:t xml:space="preserve">toda vez que en su contenido no se encuentran los elementos mínimos para que el gobernado pueda hacer valer sus derechos, lo que implica que se deje abierta la posibilidad de </w:t>
      </w:r>
      <w:r>
        <w:rPr>
          <w:rFonts w:ascii="Palatino Linotype" w:hAnsi="Palatino Linotype" w:cs="Arial"/>
          <w:sz w:val="24"/>
          <w:szCs w:val="24"/>
        </w:rPr>
        <w:t>que las autoridades incurran en</w:t>
      </w:r>
      <w:r w:rsidRPr="005857E0">
        <w:rPr>
          <w:rFonts w:ascii="Palatino Linotype" w:hAnsi="Palatino Linotype" w:cs="Arial"/>
          <w:sz w:val="24"/>
          <w:szCs w:val="24"/>
        </w:rPr>
        <w:t xml:space="preserve"> arbitrariedades.</w:t>
      </w:r>
    </w:p>
    <w:p w:rsidR="00BD3F99" w:rsidRDefault="00BD3F99" w:rsidP="00BD3F99">
      <w:pPr>
        <w:spacing w:before="240" w:after="240" w:line="360" w:lineRule="auto"/>
        <w:jc w:val="both"/>
        <w:rPr>
          <w:rFonts w:ascii="Palatino Linotype" w:hAnsi="Palatino Linotype" w:cs="Arial"/>
          <w:sz w:val="24"/>
          <w:szCs w:val="24"/>
        </w:rPr>
      </w:pPr>
      <w:r w:rsidRPr="005857E0">
        <w:rPr>
          <w:rFonts w:ascii="Palatino Linotype" w:hAnsi="Palatino Linotype" w:cs="Arial"/>
          <w:sz w:val="24"/>
          <w:szCs w:val="24"/>
        </w:rPr>
        <w:lastRenderedPageBreak/>
        <w:t>En este sentido, se debió garantizar su</w:t>
      </w:r>
      <w:r>
        <w:rPr>
          <w:rFonts w:ascii="Palatino Linotype" w:hAnsi="Palatino Linotype" w:cs="Arial"/>
          <w:sz w:val="24"/>
          <w:szCs w:val="24"/>
        </w:rPr>
        <w:t>s</w:t>
      </w:r>
      <w:r w:rsidRPr="005857E0">
        <w:rPr>
          <w:rFonts w:ascii="Palatino Linotype" w:hAnsi="Palatino Linotype" w:cs="Arial"/>
          <w:sz w:val="24"/>
          <w:szCs w:val="24"/>
        </w:rPr>
        <w:t xml:space="preserve"> derechos del particular para conocer y manifestar su defensa respecto de los alcances </w:t>
      </w:r>
      <w:r>
        <w:rPr>
          <w:rFonts w:ascii="Palatino Linotype" w:hAnsi="Palatino Linotype" w:cs="Arial"/>
          <w:sz w:val="24"/>
          <w:szCs w:val="24"/>
        </w:rPr>
        <w:t>que dejaron sin materia el Recurso de Revisión</w:t>
      </w:r>
      <w:r w:rsidRPr="005857E0">
        <w:rPr>
          <w:rFonts w:ascii="Palatino Linotype" w:hAnsi="Palatino Linotype" w:cs="Arial"/>
          <w:sz w:val="24"/>
          <w:szCs w:val="24"/>
        </w:rPr>
        <w:t>, pues como autoridad, el ordenar "dar vista" de los nuevos elementos aportados, era suficiente para estimar que podía ejercer sus derechos y así están en oportunidad se ser escuchado.</w:t>
      </w:r>
    </w:p>
    <w:p w:rsidR="00BD3F99" w:rsidRDefault="00BD3F99" w:rsidP="00BD3F9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Máxime, que </w:t>
      </w:r>
      <w:r w:rsidRPr="00DC23D7">
        <w:rPr>
          <w:rFonts w:ascii="Palatino Linotype" w:hAnsi="Palatino Linotype" w:cs="Arial"/>
          <w:sz w:val="24"/>
          <w:szCs w:val="24"/>
        </w:rPr>
        <w:t>este Instituto de Transparencia, es el Órgano público estatal constitucionalmente autónomo, especializado, independiente, imparcial y colegiado, responsable de garantizar tanto el derecho de acceso a la información pública y la protección de datos personales en po</w:t>
      </w:r>
      <w:r>
        <w:rPr>
          <w:rFonts w:ascii="Palatino Linotype" w:hAnsi="Palatino Linotype" w:cs="Arial"/>
          <w:sz w:val="24"/>
          <w:szCs w:val="24"/>
        </w:rPr>
        <w:t xml:space="preserve">sesión de los sujetos obligados; lo cual, lo faculta para establecer la determinaciones necesarias tendientes a satisfacer el Derecho de Acceso a la Información de los gobernados en observancia de los principios de </w:t>
      </w:r>
      <w:r w:rsidRPr="00984CF6">
        <w:rPr>
          <w:rFonts w:ascii="Palatino Linotype" w:hAnsi="Palatino Linotype" w:cs="Arial"/>
          <w:sz w:val="24"/>
          <w:szCs w:val="24"/>
        </w:rPr>
        <w:t>publicidad, certeza, eficacia, legalidad, objetividad, profesionalismo, simplicidad, rapidez y transparencia</w:t>
      </w:r>
      <w:r>
        <w:rPr>
          <w:rFonts w:ascii="Palatino Linotype" w:hAnsi="Palatino Linotype" w:cs="Arial"/>
          <w:sz w:val="24"/>
          <w:szCs w:val="24"/>
        </w:rPr>
        <w:t xml:space="preserve"> ya mencionados; como así se lo permite </w:t>
      </w:r>
      <w:r w:rsidRPr="00875530">
        <w:rPr>
          <w:rFonts w:ascii="Palatino Linotype" w:hAnsi="Palatino Linotype" w:cs="Arial"/>
          <w:sz w:val="24"/>
          <w:szCs w:val="24"/>
        </w:rPr>
        <w:t>la fracción II del artículo 2 de la Ley de Transparencia y Acceso a la Información Pública del Estado de México y Municipios, prevé que son objetivos de la misma proveer lo necesario para garantizar a toda persona el derecho de acceso a la información pública, a través de procedimientos sencillos, expeditos, oportunos y</w:t>
      </w:r>
      <w:r w:rsidRPr="00FA42AA">
        <w:rPr>
          <w:rFonts w:ascii="Palatino Linotype" w:hAnsi="Palatino Linotype" w:cs="Arial"/>
          <w:sz w:val="24"/>
          <w:szCs w:val="24"/>
        </w:rPr>
        <w:t xml:space="preserve"> gratuitos</w:t>
      </w:r>
      <w:r>
        <w:rPr>
          <w:rFonts w:ascii="Palatino Linotype" w:hAnsi="Palatino Linotype" w:cs="Arial"/>
          <w:sz w:val="24"/>
          <w:szCs w:val="24"/>
        </w:rPr>
        <w:t>.</w:t>
      </w:r>
    </w:p>
    <w:p w:rsidR="0077128A" w:rsidRPr="0077128A" w:rsidRDefault="00F50FA1" w:rsidP="0077128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conclusión</w:t>
      </w:r>
      <w:r w:rsidR="00852138">
        <w:rPr>
          <w:rFonts w:ascii="Palatino Linotype" w:eastAsia="Times New Roman" w:hAnsi="Palatino Linotype" w:cs="Arial"/>
          <w:sz w:val="24"/>
          <w:szCs w:val="24"/>
          <w:lang w:eastAsia="es-MX"/>
        </w:rPr>
        <w:t xml:space="preserve">, </w:t>
      </w:r>
      <w:r w:rsidR="00BD3F99">
        <w:rPr>
          <w:rFonts w:ascii="Palatino Linotype" w:eastAsia="Times New Roman" w:hAnsi="Palatino Linotype" w:cs="Arial"/>
          <w:sz w:val="24"/>
          <w:szCs w:val="24"/>
          <w:lang w:eastAsia="es-MX"/>
        </w:rPr>
        <w:t>no resulta compatible que no se haya puesto al alcance del particular el informe justificado, al ser el medio que permitió sobre</w:t>
      </w:r>
      <w:r w:rsidR="0077128A">
        <w:rPr>
          <w:rFonts w:ascii="Palatino Linotype" w:eastAsia="Times New Roman" w:hAnsi="Palatino Linotype" w:cs="Arial"/>
          <w:sz w:val="24"/>
          <w:szCs w:val="24"/>
          <w:lang w:eastAsia="es-MX"/>
        </w:rPr>
        <w:t>se</w:t>
      </w:r>
      <w:r w:rsidR="00BD3F99">
        <w:rPr>
          <w:rFonts w:ascii="Palatino Linotype" w:eastAsia="Times New Roman" w:hAnsi="Palatino Linotype" w:cs="Arial"/>
          <w:sz w:val="24"/>
          <w:szCs w:val="24"/>
          <w:lang w:eastAsia="es-MX"/>
        </w:rPr>
        <w:t>er el recurso de revisión, a</w:t>
      </w:r>
      <w:r w:rsidR="0077128A">
        <w:rPr>
          <w:rFonts w:ascii="Palatino Linotype" w:eastAsia="Times New Roman" w:hAnsi="Palatino Linotype" w:cs="Arial"/>
          <w:sz w:val="24"/>
          <w:szCs w:val="24"/>
          <w:lang w:eastAsia="es-MX"/>
        </w:rPr>
        <w:t xml:space="preserve">nte la falta de </w:t>
      </w:r>
      <w:r w:rsidR="00BD3F99">
        <w:rPr>
          <w:rFonts w:ascii="Palatino Linotype" w:eastAsia="Times New Roman" w:hAnsi="Palatino Linotype" w:cs="Arial"/>
          <w:sz w:val="24"/>
          <w:szCs w:val="24"/>
          <w:lang w:eastAsia="es-MX"/>
        </w:rPr>
        <w:t xml:space="preserve">tutela efectiva </w:t>
      </w:r>
      <w:r w:rsidR="0077128A">
        <w:rPr>
          <w:rFonts w:ascii="Palatino Linotype" w:eastAsia="Times New Roman" w:hAnsi="Palatino Linotype" w:cs="Arial"/>
          <w:sz w:val="24"/>
          <w:szCs w:val="24"/>
          <w:lang w:eastAsia="es-MX"/>
        </w:rPr>
        <w:t xml:space="preserve">al </w:t>
      </w:r>
      <w:r w:rsidR="00BD3F99">
        <w:rPr>
          <w:rFonts w:ascii="Palatino Linotype" w:eastAsia="Times New Roman" w:hAnsi="Palatino Linotype" w:cs="Arial"/>
          <w:sz w:val="24"/>
          <w:szCs w:val="24"/>
          <w:lang w:eastAsia="es-MX"/>
        </w:rPr>
        <w:t xml:space="preserve">procedimiento enmarcado </w:t>
      </w:r>
      <w:r w:rsidR="0077128A">
        <w:rPr>
          <w:rFonts w:ascii="Palatino Linotype" w:eastAsia="Times New Roman" w:hAnsi="Palatino Linotype" w:cs="Arial"/>
          <w:sz w:val="24"/>
          <w:szCs w:val="24"/>
          <w:lang w:eastAsia="es-MX"/>
        </w:rPr>
        <w:t xml:space="preserve">para la resolución del medio de impugnación; puesto que no se encuentra justificado que la Ponencia que </w:t>
      </w:r>
      <w:r w:rsidR="0077128A">
        <w:rPr>
          <w:rFonts w:ascii="Palatino Linotype" w:eastAsia="Times New Roman" w:hAnsi="Palatino Linotype" w:cs="Arial"/>
          <w:sz w:val="24"/>
          <w:szCs w:val="24"/>
          <w:lang w:eastAsia="es-MX"/>
        </w:rPr>
        <w:lastRenderedPageBreak/>
        <w:t>resuelve haya negado el acceso al mismo en el plazo establecido para ello, y que por otro lado, sea el documento que actualiza lo previsto en la fracción III del artículo 192 de la Ley de la Materia, toda vez que en ningún se le permitió al particular que manifestara su conformidad con la documentación enviada o su descontento con la misma. S</w:t>
      </w:r>
      <w:r w:rsidR="0077128A">
        <w:rPr>
          <w:rFonts w:ascii="Palatino Linotype" w:hAnsi="Palatino Linotype"/>
          <w:sz w:val="24"/>
          <w:szCs w:val="24"/>
        </w:rPr>
        <w:t xml:space="preserve">irve de sustento lo establecido en el criterio </w:t>
      </w:r>
      <w:r w:rsidR="0077128A">
        <w:rPr>
          <w:rFonts w:ascii="Palatino Linotype" w:eastAsia="Times New Roman" w:hAnsi="Palatino Linotype" w:cs="Times New Roman"/>
          <w:sz w:val="24"/>
          <w:szCs w:val="24"/>
          <w:lang w:val="es-ES_tradnl" w:eastAsia="es-ES"/>
        </w:rPr>
        <w:t>emitido por la Suprema Corte de Justicia de la Nación, siguiente:</w:t>
      </w:r>
    </w:p>
    <w:p w:rsidR="000C1AB5" w:rsidRPr="00A769BF" w:rsidRDefault="0077128A" w:rsidP="000C1AB5">
      <w:pPr>
        <w:spacing w:before="240" w:after="240" w:line="240" w:lineRule="auto"/>
        <w:ind w:left="851" w:right="990"/>
        <w:contextualSpacing/>
        <w:jc w:val="both"/>
        <w:rPr>
          <w:rFonts w:ascii="Palatino Linotype" w:eastAsia="Times New Roman" w:hAnsi="Palatino Linotype" w:cs="Times New Roman"/>
          <w:i/>
          <w:lang w:val="es-ES_tradnl" w:eastAsia="es-ES"/>
        </w:rPr>
      </w:pPr>
      <w:r w:rsidRPr="00A769BF">
        <w:rPr>
          <w:rFonts w:ascii="Palatino Linotype" w:eastAsia="Times New Roman" w:hAnsi="Palatino Linotype" w:cs="Times New Roman"/>
          <w:b/>
          <w:i/>
          <w:lang w:val="es-ES_tradnl" w:eastAsia="es-ES"/>
        </w:rPr>
        <w:t>“</w:t>
      </w:r>
      <w:r w:rsidR="000C1AB5" w:rsidRPr="00A769BF">
        <w:rPr>
          <w:rFonts w:ascii="Palatino Linotype" w:eastAsia="Times New Roman" w:hAnsi="Palatino Linotype" w:cs="Times New Roman"/>
          <w:b/>
          <w:i/>
          <w:lang w:val="es-ES_tradnl" w:eastAsia="es-ES"/>
        </w:rPr>
        <w:t xml:space="preserve">PRINCIPIOS DE CONTRADICCIÓN E IGUALDAD DE ARMAS PREVISTOS EN EL DERECHO INTERNACIONAL DE LOS DERECHOS HUMANOS. RIGEN EL PROCEDIMIENTO DEL JUICIO DE AMPARO INDIRECTO. </w:t>
      </w:r>
      <w:r w:rsidR="000C1AB5" w:rsidRPr="00A769BF">
        <w:rPr>
          <w:rFonts w:ascii="Palatino Linotype" w:eastAsia="Times New Roman" w:hAnsi="Palatino Linotype" w:cs="Times New Roman"/>
          <w:i/>
          <w:lang w:val="es-ES_tradnl" w:eastAsia="es-ES"/>
        </w:rPr>
        <w:t xml:space="preserve">El derecho al debido proceso reconocido a favor de los gobernados en el artículo 14 constitucional lleva implícita la necesidad de que en todo procedimiento, como el del juicio de amparo, rijan diversos principios establecidos en la ley, la jurisprudencia, la doctrina y el derecho internacional de los derechos humanos, como son, entre otros, los de contradicción, legalidad, oportunidad, igualdad de armas, probidad, lealtad y buena fe, libre apreciación de la prueba, economía procesal e inmutabilidad de las resoluciones judiciales. De los anteriores principios destacan el de contradicción y el de igualdad de armas, reconocidos, respectivamente, en los artículos 14, numerales 1 y 3, inciso e), del Pacto Internacional de Derechos Civiles y Políticos y 8, numerales 1 y 2, inciso e), de la Convención Americana sobre Derechos Humanos, cuyo contenido está encaminado a garantizar que las partes contendientes en un juicio tengan los mismos derechos de ser escuchadas, de ofrecer pruebas, alegar y recurrir las resoluciones que no les resulten favorables. El primero de esos principios tiene aplicación en la materia probatoria y su principal objetivo es permitir la refutación, ya que por medio de aquél se posibilita debatir sobre la prueba de la parte contraria, de manera que constituye un examen de veracidad al que son sometidos los medios de convicción, porque a través de este principio se establece que tiene razón o una parte u otra, pero no las dos en el mismo tiempo y en el mismo proceso. El segundo tiene una connotación más amplia, pues exige el reconocimiento a la igualdad, particularmente, cuando en el proceso existe una </w:t>
      </w:r>
      <w:r w:rsidR="000C1AB5" w:rsidRPr="00A769BF">
        <w:rPr>
          <w:rFonts w:ascii="Palatino Linotype" w:eastAsia="Times New Roman" w:hAnsi="Palatino Linotype" w:cs="Times New Roman"/>
          <w:i/>
          <w:lang w:val="es-ES_tradnl" w:eastAsia="es-ES"/>
        </w:rPr>
        <w:lastRenderedPageBreak/>
        <w:t>situación disímil entre las partes, ya sea por su condición económica, social o por el carácter de autoridad con que se actúa, que se refleja en una desigual posibilidad de defensa, siendo evidente su presencia en el derecho administrativo en el que se suele conferir privilegios al Estado en su relación con los administrados. Ahora bien, el resultado de la interpretación sistemática de los artículos 147, 149, 150, 151, 152, 153, 154 y 155 de la Ley de Amparo permite arribar a la conclusión de que en tales preceptos legales se encuentran albergados los principios en comento y éstos rigen el procedimiento en el juicio de amparo, porque esas disposiciones exigen a las autoridades responsables rendir su informe justificado con una anticipación que permita su conocimiento por el quejoso, al menos ocho días antes de la fecha para la celebración de la audiencia constitucional, y determinan que en tal informe se expresen las razones y fundamentos legales que estimen pertinentes para sostener la constitucionalidad del acto reclamado o la improcedencia del juicio y se acompañe, en su caso, copia certificada de las constancias que sean necesarias para apoyarlo; obligan a que el informe sea tomado en consideración, aun cuando se rinda fuera del plazo señalado, siempre que las partes hayan tenido oportunidad de conocerlo y de preparar las pruebas que lo desvirtúen; regulan que las pruebas y alegatos deben ofrecerse, rendirse y formularse en la audiencia y tratándose de la testimonial o la pericial, las partes pueden formular repreguntas; obligan al Juez de Distrito a requerir a las autoridades la expedición de las copias que no hayan sido oportunamente expedidas; e indican que si alguna de las partes objeta de falso un documento, se debe suspender la audiencia constitucional, a efecto de que se presenten las pruebas y contrapruebas relativas a su autenticidad.”</w:t>
      </w:r>
    </w:p>
    <w:p w:rsidR="000C1AB5" w:rsidRPr="00A769BF" w:rsidRDefault="000C1AB5" w:rsidP="000C1AB5">
      <w:pPr>
        <w:spacing w:before="240" w:after="240" w:line="240" w:lineRule="auto"/>
        <w:ind w:left="851" w:right="990"/>
        <w:contextualSpacing/>
        <w:jc w:val="both"/>
        <w:rPr>
          <w:rFonts w:ascii="Palatino Linotype" w:eastAsia="Times New Roman" w:hAnsi="Palatino Linotype" w:cs="Times New Roman"/>
          <w:b/>
          <w:i/>
          <w:lang w:val="es-ES_tradnl" w:eastAsia="es-ES"/>
        </w:rPr>
      </w:pPr>
    </w:p>
    <w:p w:rsidR="000C1AB5" w:rsidRPr="000C1AB5" w:rsidRDefault="000C1AB5" w:rsidP="000C1AB5">
      <w:pPr>
        <w:spacing w:before="240" w:after="240" w:line="360" w:lineRule="auto"/>
        <w:ind w:right="-6"/>
        <w:contextualSpacing/>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Ante la premisa de que dicha actuación refleja una desigualdad entre las partes, en virtud de que el sujeto obligado conoce la informe justificado y todas las actuaciones que obran agregadas en el expediente electrónico,</w:t>
      </w:r>
      <w:r w:rsidR="00A769BF">
        <w:rPr>
          <w:rFonts w:ascii="Palatino Linotype" w:eastAsia="Times New Roman" w:hAnsi="Palatino Linotype" w:cs="Times New Roman"/>
          <w:sz w:val="24"/>
          <w:szCs w:val="24"/>
          <w:lang w:val="es-ES_tradnl" w:eastAsia="es-ES"/>
        </w:rPr>
        <w:t xml:space="preserve"> mientras que a</w:t>
      </w:r>
      <w:r>
        <w:rPr>
          <w:rFonts w:ascii="Palatino Linotype" w:eastAsia="Times New Roman" w:hAnsi="Palatino Linotype" w:cs="Times New Roman"/>
          <w:sz w:val="24"/>
          <w:szCs w:val="24"/>
          <w:lang w:val="es-ES_tradnl" w:eastAsia="es-ES"/>
        </w:rPr>
        <w:t xml:space="preserve">l particular </w:t>
      </w:r>
      <w:r w:rsidR="00A769BF">
        <w:rPr>
          <w:rFonts w:ascii="Palatino Linotype" w:eastAsia="Times New Roman" w:hAnsi="Palatino Linotype" w:cs="Times New Roman"/>
          <w:sz w:val="24"/>
          <w:szCs w:val="24"/>
          <w:lang w:val="es-ES_tradnl" w:eastAsia="es-ES"/>
        </w:rPr>
        <w:t>se le notificara</w:t>
      </w:r>
      <w:r>
        <w:rPr>
          <w:rFonts w:ascii="Palatino Linotype" w:eastAsia="Times New Roman" w:hAnsi="Palatino Linotype" w:cs="Times New Roman"/>
          <w:sz w:val="24"/>
          <w:szCs w:val="24"/>
          <w:lang w:val="es-ES_tradnl" w:eastAsia="es-ES"/>
        </w:rPr>
        <w:t xml:space="preserve"> una resoluci</w:t>
      </w:r>
      <w:r w:rsidR="00A769BF">
        <w:rPr>
          <w:rFonts w:ascii="Palatino Linotype" w:eastAsia="Times New Roman" w:hAnsi="Palatino Linotype" w:cs="Times New Roman"/>
          <w:sz w:val="24"/>
          <w:szCs w:val="24"/>
          <w:lang w:val="es-ES_tradnl" w:eastAsia="es-ES"/>
        </w:rPr>
        <w:t>ón en la que se determinó</w:t>
      </w:r>
      <w:r>
        <w:rPr>
          <w:rFonts w:ascii="Palatino Linotype" w:eastAsia="Times New Roman" w:hAnsi="Palatino Linotype" w:cs="Times New Roman"/>
          <w:sz w:val="24"/>
          <w:szCs w:val="24"/>
          <w:lang w:val="es-ES_tradnl" w:eastAsia="es-ES"/>
        </w:rPr>
        <w:t xml:space="preserve"> sobrese</w:t>
      </w:r>
      <w:r w:rsidR="00A769BF">
        <w:rPr>
          <w:rFonts w:ascii="Palatino Linotype" w:eastAsia="Times New Roman" w:hAnsi="Palatino Linotype" w:cs="Times New Roman"/>
          <w:sz w:val="24"/>
          <w:szCs w:val="24"/>
          <w:lang w:val="es-ES_tradnl" w:eastAsia="es-ES"/>
        </w:rPr>
        <w:t>er</w:t>
      </w:r>
      <w:r>
        <w:rPr>
          <w:rFonts w:ascii="Palatino Linotype" w:eastAsia="Times New Roman" w:hAnsi="Palatino Linotype" w:cs="Times New Roman"/>
          <w:sz w:val="24"/>
          <w:szCs w:val="24"/>
          <w:lang w:val="es-ES_tradnl" w:eastAsia="es-ES"/>
        </w:rPr>
        <w:t xml:space="preserve"> el asunto materia de la </w:t>
      </w:r>
      <w:r w:rsidRPr="000C1AB5">
        <w:rPr>
          <w:rFonts w:ascii="Palatino Linotype" w:eastAsia="Times New Roman" w:hAnsi="Palatino Linotype" w:cs="Times New Roman"/>
          <w:i/>
          <w:sz w:val="24"/>
          <w:szCs w:val="24"/>
          <w:lang w:val="es-ES_tradnl" w:eastAsia="es-ES"/>
        </w:rPr>
        <w:t>litis</w:t>
      </w:r>
      <w:r>
        <w:rPr>
          <w:rFonts w:ascii="Palatino Linotype" w:eastAsia="Times New Roman" w:hAnsi="Palatino Linotype" w:cs="Times New Roman"/>
          <w:sz w:val="24"/>
          <w:szCs w:val="24"/>
          <w:lang w:val="es-ES_tradnl" w:eastAsia="es-ES"/>
        </w:rPr>
        <w:t xml:space="preserve">, ante la modificación a la respuesta. Lo que imposibilita que el particular pueda refutar los argumentos novedosos, lo que se traduce en una situación disímil entre </w:t>
      </w:r>
      <w:r>
        <w:rPr>
          <w:rFonts w:ascii="Palatino Linotype" w:eastAsia="Times New Roman" w:hAnsi="Palatino Linotype" w:cs="Times New Roman"/>
          <w:sz w:val="24"/>
          <w:szCs w:val="24"/>
          <w:lang w:val="es-ES_tradnl" w:eastAsia="es-ES"/>
        </w:rPr>
        <w:lastRenderedPageBreak/>
        <w:t xml:space="preserve">las partes y refleja una falta de defensa en iguales condiciones, toda vez que </w:t>
      </w:r>
      <w:r w:rsidR="00A769BF">
        <w:rPr>
          <w:rFonts w:ascii="Palatino Linotype" w:eastAsia="Times New Roman" w:hAnsi="Palatino Linotype" w:cs="Times New Roman"/>
          <w:sz w:val="24"/>
          <w:szCs w:val="24"/>
          <w:lang w:val="es-ES_tradnl" w:eastAsia="es-ES"/>
        </w:rPr>
        <w:t>el particular no tuvo oportunidad conocerlo y de presentar pruebas que lo desvirtúen.</w:t>
      </w:r>
    </w:p>
    <w:p w:rsidR="0077128A" w:rsidRPr="009514EE" w:rsidRDefault="0077128A" w:rsidP="000C1AB5">
      <w:pPr>
        <w:spacing w:before="240" w:after="240" w:line="240" w:lineRule="auto"/>
        <w:ind w:left="851" w:right="990"/>
        <w:contextualSpacing/>
        <w:jc w:val="both"/>
        <w:rPr>
          <w:rFonts w:ascii="Palatino Linotype" w:eastAsia="Times New Roman" w:hAnsi="Palatino Linotype" w:cs="Times New Roman"/>
          <w:i/>
          <w:lang w:val="es-ES_tradnl" w:eastAsia="es-ES"/>
        </w:rPr>
      </w:pPr>
    </w:p>
    <w:p w:rsidR="00F26BA7" w:rsidRPr="00A3116B" w:rsidRDefault="00462F9C" w:rsidP="00462F9C">
      <w:pPr>
        <w:spacing w:before="240" w:after="240" w:line="360" w:lineRule="auto"/>
        <w:jc w:val="both"/>
        <w:rPr>
          <w:rFonts w:ascii="Palatino Linotype" w:eastAsia="Arial Unicode MS" w:hAnsi="Palatino Linotype" w:cs="Arial"/>
          <w:sz w:val="24"/>
          <w:szCs w:val="24"/>
        </w:rPr>
      </w:pPr>
      <w:r>
        <w:rPr>
          <w:rFonts w:ascii="Palatino Linotype" w:hAnsi="Palatino Linotype"/>
          <w:sz w:val="24"/>
          <w:szCs w:val="24"/>
        </w:rPr>
        <w:t xml:space="preserve">Por </w:t>
      </w:r>
      <w:r w:rsidR="00F26BA7">
        <w:rPr>
          <w:rFonts w:ascii="Palatino Linotype" w:hAnsi="Palatino Linotype"/>
          <w:sz w:val="24"/>
          <w:szCs w:val="24"/>
        </w:rPr>
        <w:t xml:space="preserve">las consideraciones expuestas, con </w:t>
      </w:r>
      <w:r w:rsidRPr="009A256B">
        <w:rPr>
          <w:rFonts w:ascii="Palatino Linotype" w:hAnsi="Palatino Linotype"/>
          <w:sz w:val="24"/>
          <w:szCs w:val="24"/>
        </w:rPr>
        <w:t xml:space="preserve">fundamento en lo dispuesto por el artículo </w:t>
      </w:r>
      <w:r>
        <w:rPr>
          <w:rFonts w:ascii="Palatino Linotype" w:hAnsi="Palatino Linotype"/>
        </w:rPr>
        <w:t xml:space="preserve">14 fracciones X y XI </w:t>
      </w:r>
      <w:r w:rsidRPr="009A256B">
        <w:rPr>
          <w:rFonts w:ascii="Palatino Linotype" w:hAnsi="Palatino Linotype"/>
          <w:sz w:val="24"/>
          <w:szCs w:val="24"/>
        </w:rPr>
        <w:t xml:space="preserve">del Reglamento Interior del Instituto de Transparencia, Acceso a la Información Pública y Protección de Datos Personales del Estado </w:t>
      </w:r>
      <w:r>
        <w:rPr>
          <w:rFonts w:ascii="Palatino Linotype" w:hAnsi="Palatino Linotype"/>
          <w:sz w:val="24"/>
          <w:szCs w:val="24"/>
        </w:rPr>
        <w:t xml:space="preserve">de México y Municipios, </w:t>
      </w:r>
      <w:r w:rsidR="00F26BA7">
        <w:rPr>
          <w:rFonts w:ascii="Palatino Linotype" w:hAnsi="Palatino Linotype"/>
          <w:sz w:val="24"/>
          <w:szCs w:val="24"/>
        </w:rPr>
        <w:t>emito</w:t>
      </w:r>
      <w:r>
        <w:rPr>
          <w:rFonts w:ascii="Palatino Linotype" w:hAnsi="Palatino Linotype"/>
          <w:sz w:val="24"/>
          <w:szCs w:val="24"/>
        </w:rPr>
        <w:t xml:space="preserve"> VOTO</w:t>
      </w:r>
      <w:r w:rsidRPr="009A256B">
        <w:rPr>
          <w:rFonts w:ascii="Palatino Linotype" w:hAnsi="Palatino Linotype"/>
          <w:sz w:val="24"/>
          <w:szCs w:val="24"/>
        </w:rPr>
        <w:t xml:space="preserve"> PARTICULAR</w:t>
      </w:r>
      <w:r>
        <w:rPr>
          <w:rFonts w:ascii="Palatino Linotype" w:hAnsi="Palatino Linotype"/>
          <w:sz w:val="24"/>
          <w:szCs w:val="24"/>
        </w:rPr>
        <w:t xml:space="preserve"> </w:t>
      </w:r>
      <w:r w:rsidR="00F11F36">
        <w:rPr>
          <w:rFonts w:ascii="Palatino Linotype" w:hAnsi="Palatino Linotype"/>
          <w:sz w:val="24"/>
          <w:szCs w:val="24"/>
        </w:rPr>
        <w:t xml:space="preserve">al considerar </w:t>
      </w:r>
      <w:r w:rsidR="007100DE">
        <w:rPr>
          <w:rFonts w:ascii="Palatino Linotype" w:hAnsi="Palatino Linotype"/>
          <w:sz w:val="24"/>
          <w:szCs w:val="24"/>
        </w:rPr>
        <w:t xml:space="preserve">que </w:t>
      </w:r>
      <w:r w:rsidR="00C30213">
        <w:rPr>
          <w:rFonts w:ascii="Palatino Linotype" w:hAnsi="Palatino Linotype"/>
          <w:sz w:val="24"/>
          <w:szCs w:val="24"/>
        </w:rPr>
        <w:t>debió hacerse del conocimiento del particular el informe justificado en la etapa procedimental.</w:t>
      </w:r>
    </w:p>
    <w:p w:rsidR="00462F9C" w:rsidRDefault="00462F9C" w:rsidP="001E28B6">
      <w:pPr>
        <w:spacing w:before="240" w:after="240" w:line="360" w:lineRule="auto"/>
        <w:jc w:val="both"/>
        <w:rPr>
          <w:rFonts w:ascii="Palatino Linotype" w:hAnsi="Palatino Linotype"/>
          <w:sz w:val="24"/>
          <w:szCs w:val="24"/>
        </w:rPr>
      </w:pPr>
    </w:p>
    <w:p w:rsidR="00634D06" w:rsidRDefault="00634D06" w:rsidP="001E28B6">
      <w:pPr>
        <w:spacing w:before="240" w:after="240" w:line="360" w:lineRule="auto"/>
        <w:jc w:val="both"/>
        <w:rPr>
          <w:rFonts w:ascii="Palatino Linotype" w:hAnsi="Palatino Linotype"/>
          <w:sz w:val="24"/>
          <w:szCs w:val="24"/>
        </w:rPr>
      </w:pPr>
    </w:p>
    <w:p w:rsidR="00462F9C" w:rsidRDefault="00462F9C" w:rsidP="000607BA">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72CD" w:rsidTr="005D2567">
        <w:trPr>
          <w:trHeight w:val="702"/>
        </w:trPr>
        <w:tc>
          <w:tcPr>
            <w:tcW w:w="8918" w:type="dxa"/>
            <w:gridSpan w:val="2"/>
          </w:tcPr>
          <w:p w:rsidR="00BB72CD" w:rsidRPr="00462F9C" w:rsidRDefault="00BB72CD" w:rsidP="00462F9C">
            <w:pPr>
              <w:spacing w:line="240" w:lineRule="auto"/>
              <w:jc w:val="center"/>
              <w:rPr>
                <w:rFonts w:ascii="Palatino Linotype" w:hAnsi="Palatino Linotype"/>
                <w:b/>
                <w:sz w:val="28"/>
                <w:szCs w:val="28"/>
              </w:rPr>
            </w:pPr>
            <w:r>
              <w:rPr>
                <w:rFonts w:ascii="Palatino Linotype" w:hAnsi="Palatino Linotype"/>
                <w:b/>
                <w:sz w:val="28"/>
                <w:szCs w:val="28"/>
              </w:rPr>
              <w:t>Javier Martínez Cruz</w:t>
            </w:r>
          </w:p>
          <w:p w:rsidR="00BB72CD" w:rsidRDefault="00BB72CD" w:rsidP="005D2567">
            <w:pPr>
              <w:spacing w:line="240" w:lineRule="auto"/>
              <w:jc w:val="center"/>
              <w:rPr>
                <w:rFonts w:ascii="Palatino Linotype" w:hAnsi="Palatino Linotype"/>
                <w:b/>
                <w:sz w:val="24"/>
                <w:szCs w:val="24"/>
              </w:rPr>
            </w:pPr>
            <w:r>
              <w:rPr>
                <w:rFonts w:ascii="Palatino Linotype" w:hAnsi="Palatino Linotype"/>
                <w:b/>
                <w:sz w:val="24"/>
                <w:szCs w:val="24"/>
              </w:rPr>
              <w:t>Comisionado</w:t>
            </w:r>
          </w:p>
          <w:p w:rsidR="00144A42" w:rsidRPr="00C469D8" w:rsidRDefault="001102D4" w:rsidP="005D2567">
            <w:pPr>
              <w:spacing w:line="240" w:lineRule="auto"/>
              <w:jc w:val="center"/>
              <w:rPr>
                <w:rFonts w:ascii="Palatino Linotype" w:hAnsi="Palatino Linotype"/>
                <w:b/>
                <w:sz w:val="24"/>
                <w:szCs w:val="24"/>
              </w:rPr>
            </w:pPr>
            <w:r w:rsidRPr="00C469D8">
              <w:rPr>
                <w:rFonts w:ascii="Palatino Linotype" w:hAnsi="Palatino Linotype"/>
                <w:b/>
                <w:sz w:val="24"/>
                <w:szCs w:val="24"/>
              </w:rPr>
              <w:t>(Rúbrica)</w:t>
            </w:r>
          </w:p>
        </w:tc>
      </w:tr>
      <w:tr w:rsidR="00462F9C" w:rsidTr="005D2567">
        <w:tc>
          <w:tcPr>
            <w:tcW w:w="4459" w:type="dxa"/>
          </w:tcPr>
          <w:p w:rsidR="00462F9C" w:rsidRPr="00237368" w:rsidRDefault="00462F9C" w:rsidP="005D2567">
            <w:pPr>
              <w:spacing w:line="240" w:lineRule="auto"/>
              <w:jc w:val="center"/>
              <w:rPr>
                <w:rFonts w:ascii="Palatino Linotype" w:hAnsi="Palatino Linotype" w:cs="Arial"/>
              </w:rPr>
            </w:pPr>
          </w:p>
        </w:tc>
        <w:tc>
          <w:tcPr>
            <w:tcW w:w="4459" w:type="dxa"/>
          </w:tcPr>
          <w:p w:rsidR="00462F9C" w:rsidRPr="00237368" w:rsidRDefault="00462F9C" w:rsidP="005D2567">
            <w:pPr>
              <w:spacing w:line="240" w:lineRule="auto"/>
              <w:jc w:val="center"/>
              <w:rPr>
                <w:rFonts w:ascii="Palatino Linotype" w:hAnsi="Palatino Linotype" w:cs="Arial"/>
              </w:rPr>
            </w:pPr>
          </w:p>
        </w:tc>
      </w:tr>
    </w:tbl>
    <w:p w:rsidR="005777C1" w:rsidRPr="003F3117" w:rsidRDefault="005777C1" w:rsidP="003E7A3F">
      <w:pPr>
        <w:spacing w:after="0" w:line="360" w:lineRule="auto"/>
        <w:rPr>
          <w:rFonts w:ascii="Palatino Linotype" w:hAnsi="Palatino Linotype"/>
          <w:b/>
          <w:sz w:val="28"/>
          <w:szCs w:val="28"/>
        </w:rPr>
      </w:pPr>
    </w:p>
    <w:sectPr w:rsidR="005777C1" w:rsidRPr="003F3117" w:rsidSect="005D2567">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A00" w:rsidRDefault="00201A00" w:rsidP="00907451">
      <w:pPr>
        <w:spacing w:after="0" w:line="240" w:lineRule="auto"/>
      </w:pPr>
      <w:r>
        <w:separator/>
      </w:r>
    </w:p>
  </w:endnote>
  <w:endnote w:type="continuationSeparator" w:id="0">
    <w:p w:rsidR="00201A00" w:rsidRDefault="00201A00"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Pr="00986599" w:rsidRDefault="005D2567" w:rsidP="005D256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B11FB">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B11FB">
      <w:rPr>
        <w:rFonts w:ascii="Arial" w:hAnsi="Arial" w:cs="Arial"/>
        <w:b/>
        <w:bCs/>
        <w:noProof/>
        <w:sz w:val="20"/>
        <w:szCs w:val="20"/>
      </w:rPr>
      <w:t>10</w:t>
    </w:r>
    <w:r w:rsidRPr="00986599">
      <w:rPr>
        <w:rFonts w:ascii="Arial" w:hAnsi="Arial" w:cs="Arial"/>
        <w:b/>
        <w:bCs/>
        <w:sz w:val="20"/>
        <w:szCs w:val="20"/>
      </w:rPr>
      <w:fldChar w:fldCharType="end"/>
    </w:r>
  </w:p>
  <w:p w:rsidR="005D2567" w:rsidRDefault="005D2567" w:rsidP="005D256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A00" w:rsidRDefault="00201A00" w:rsidP="00907451">
      <w:pPr>
        <w:spacing w:after="0" w:line="240" w:lineRule="auto"/>
      </w:pPr>
      <w:r>
        <w:separator/>
      </w:r>
    </w:p>
  </w:footnote>
  <w:footnote w:type="continuationSeparator" w:id="0">
    <w:p w:rsidR="00201A00" w:rsidRDefault="00201A00"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201A0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4"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D2567">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D5C76" w:rsidP="005D2567">
    <w:pPr>
      <w:pStyle w:val="Encabezado"/>
      <w:jc w:val="right"/>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3360" behindDoc="1" locked="0" layoutInCell="1" allowOverlap="1">
          <wp:simplePos x="0" y="0"/>
          <wp:positionH relativeFrom="column">
            <wp:posOffset>-1220470</wp:posOffset>
          </wp:positionH>
          <wp:positionV relativeFrom="paragraph">
            <wp:posOffset>-400050</wp:posOffset>
          </wp:positionV>
          <wp:extent cx="7510780" cy="988250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780" cy="9882505"/>
                  </a:xfrm>
                  <a:prstGeom prst="rect">
                    <a:avLst/>
                  </a:prstGeom>
                  <a:noFill/>
                </pic:spPr>
              </pic:pic>
            </a:graphicData>
          </a:graphic>
          <wp14:sizeRelH relativeFrom="page">
            <wp14:pctWidth>0</wp14:pctWidth>
          </wp14:sizeRelH>
          <wp14:sizeRelV relativeFrom="page">
            <wp14:pctHeight>0</wp14:pctHeight>
          </wp14:sizeRelV>
        </wp:anchor>
      </w:drawing>
    </w:r>
  </w:p>
  <w:p w:rsidR="005D2567" w:rsidRDefault="00201A00" w:rsidP="005D2567">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5" o:spid="_x0000_s2049" type="#_x0000_t136" alt="OPINIÓN PARTICULAR" style="position:absolute;left:0;text-align:left;margin-left:0;margin-top:0;width:518.25pt;height:111.05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p w:rsidR="005D2567" w:rsidRDefault="005D2567" w:rsidP="005D2567">
    <w:pPr>
      <w:pStyle w:val="Encabezado"/>
      <w:jc w:val="right"/>
      <w:rPr>
        <w:rFonts w:ascii="Arial" w:hAnsi="Arial" w:cs="Arial"/>
        <w:sz w:val="20"/>
        <w:szCs w:val="20"/>
      </w:rPr>
    </w:pPr>
  </w:p>
  <w:p w:rsidR="005D2567" w:rsidRPr="00563D0F" w:rsidRDefault="005D2567" w:rsidP="005D256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5D2567" w:rsidRPr="00563D0F" w:rsidRDefault="005D2567" w:rsidP="005D2567">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A204F8">
      <w:rPr>
        <w:rFonts w:ascii="Palatino Linotype" w:hAnsi="Palatino Linotype" w:cs="Arial"/>
        <w:b/>
        <w:sz w:val="20"/>
        <w:szCs w:val="20"/>
      </w:rPr>
      <w:t>2270</w:t>
    </w:r>
    <w:r w:rsidRPr="00897E24">
      <w:rPr>
        <w:rFonts w:ascii="Palatino Linotype" w:hAnsi="Palatino Linotype" w:cs="Arial"/>
        <w:b/>
        <w:sz w:val="20"/>
        <w:szCs w:val="20"/>
      </w:rPr>
      <w:t>/INFOEM/IP/RR/201</w:t>
    </w:r>
    <w:r>
      <w:rPr>
        <w:rFonts w:ascii="Palatino Linotype" w:hAnsi="Palatino Linotype" w:cs="Arial"/>
        <w:b/>
        <w:sz w:val="20"/>
        <w:szCs w:val="20"/>
      </w:rPr>
      <w:t>8</w:t>
    </w:r>
  </w:p>
  <w:p w:rsidR="005D2567" w:rsidRDefault="005D2567" w:rsidP="005D2567">
    <w:pPr>
      <w:pStyle w:val="Encabezado"/>
      <w:jc w:val="right"/>
      <w:rPr>
        <w:rFonts w:ascii="Palatino Linotype" w:hAnsi="Palatino Linotype" w:cs="Arial"/>
        <w:sz w:val="20"/>
        <w:szCs w:val="20"/>
      </w:rPr>
    </w:pPr>
  </w:p>
  <w:p w:rsidR="005D2567" w:rsidRDefault="005D2567" w:rsidP="005D256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201A0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3"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34C51"/>
    <w:rsid w:val="00041D4E"/>
    <w:rsid w:val="0005061C"/>
    <w:rsid w:val="00051C17"/>
    <w:rsid w:val="00053AFC"/>
    <w:rsid w:val="00057319"/>
    <w:rsid w:val="000607BA"/>
    <w:rsid w:val="00070D26"/>
    <w:rsid w:val="000851D9"/>
    <w:rsid w:val="000C1AB5"/>
    <w:rsid w:val="000D5063"/>
    <w:rsid w:val="000E44AD"/>
    <w:rsid w:val="000E7110"/>
    <w:rsid w:val="00102C0B"/>
    <w:rsid w:val="001102D4"/>
    <w:rsid w:val="00127955"/>
    <w:rsid w:val="00132EFB"/>
    <w:rsid w:val="0013735C"/>
    <w:rsid w:val="00144A42"/>
    <w:rsid w:val="00155046"/>
    <w:rsid w:val="00165DE3"/>
    <w:rsid w:val="001822F4"/>
    <w:rsid w:val="001A79E1"/>
    <w:rsid w:val="001A7A16"/>
    <w:rsid w:val="001A7C78"/>
    <w:rsid w:val="001B39E3"/>
    <w:rsid w:val="001B7628"/>
    <w:rsid w:val="001C4F6B"/>
    <w:rsid w:val="001C7FB3"/>
    <w:rsid w:val="001E258D"/>
    <w:rsid w:val="001E28B6"/>
    <w:rsid w:val="001E7439"/>
    <w:rsid w:val="001F4B72"/>
    <w:rsid w:val="00201A00"/>
    <w:rsid w:val="00215353"/>
    <w:rsid w:val="00237368"/>
    <w:rsid w:val="00255E47"/>
    <w:rsid w:val="0026594A"/>
    <w:rsid w:val="00292D40"/>
    <w:rsid w:val="002A5ADD"/>
    <w:rsid w:val="002A6359"/>
    <w:rsid w:val="002B30CE"/>
    <w:rsid w:val="002B3FA8"/>
    <w:rsid w:val="002B4286"/>
    <w:rsid w:val="002E161C"/>
    <w:rsid w:val="002F0125"/>
    <w:rsid w:val="00334F64"/>
    <w:rsid w:val="00335939"/>
    <w:rsid w:val="0033639B"/>
    <w:rsid w:val="00355F33"/>
    <w:rsid w:val="0036408D"/>
    <w:rsid w:val="003669E7"/>
    <w:rsid w:val="003A0061"/>
    <w:rsid w:val="003C37BD"/>
    <w:rsid w:val="003E7A3F"/>
    <w:rsid w:val="00405C7B"/>
    <w:rsid w:val="00444F00"/>
    <w:rsid w:val="00456467"/>
    <w:rsid w:val="00462F9C"/>
    <w:rsid w:val="00476506"/>
    <w:rsid w:val="004B23BA"/>
    <w:rsid w:val="004C1B9A"/>
    <w:rsid w:val="004E4151"/>
    <w:rsid w:val="004F75CC"/>
    <w:rsid w:val="004F7D00"/>
    <w:rsid w:val="00505F5A"/>
    <w:rsid w:val="005169BD"/>
    <w:rsid w:val="005439FF"/>
    <w:rsid w:val="005507BF"/>
    <w:rsid w:val="00553E6C"/>
    <w:rsid w:val="005549ED"/>
    <w:rsid w:val="005714BE"/>
    <w:rsid w:val="005777C1"/>
    <w:rsid w:val="0058452B"/>
    <w:rsid w:val="005C239D"/>
    <w:rsid w:val="005D066B"/>
    <w:rsid w:val="005D2567"/>
    <w:rsid w:val="005D5C76"/>
    <w:rsid w:val="005F4C0C"/>
    <w:rsid w:val="006214D7"/>
    <w:rsid w:val="00631FBA"/>
    <w:rsid w:val="006349B7"/>
    <w:rsid w:val="00634D06"/>
    <w:rsid w:val="00642D91"/>
    <w:rsid w:val="006551EF"/>
    <w:rsid w:val="00662E36"/>
    <w:rsid w:val="00680DD7"/>
    <w:rsid w:val="00682AEC"/>
    <w:rsid w:val="00687DFB"/>
    <w:rsid w:val="006941CE"/>
    <w:rsid w:val="006975A6"/>
    <w:rsid w:val="006A6AF4"/>
    <w:rsid w:val="006A7F06"/>
    <w:rsid w:val="006B11FB"/>
    <w:rsid w:val="006C0A68"/>
    <w:rsid w:val="006C0C1C"/>
    <w:rsid w:val="006C34A1"/>
    <w:rsid w:val="006C6824"/>
    <w:rsid w:val="006D6110"/>
    <w:rsid w:val="006E048C"/>
    <w:rsid w:val="006E2616"/>
    <w:rsid w:val="006F346D"/>
    <w:rsid w:val="006F4F52"/>
    <w:rsid w:val="007100DE"/>
    <w:rsid w:val="00737416"/>
    <w:rsid w:val="0077128A"/>
    <w:rsid w:val="00773E96"/>
    <w:rsid w:val="007801E6"/>
    <w:rsid w:val="007917A5"/>
    <w:rsid w:val="007B6EE5"/>
    <w:rsid w:val="007C6C71"/>
    <w:rsid w:val="007F0FEE"/>
    <w:rsid w:val="00817AA2"/>
    <w:rsid w:val="00825DEC"/>
    <w:rsid w:val="00852138"/>
    <w:rsid w:val="00856631"/>
    <w:rsid w:val="0085760C"/>
    <w:rsid w:val="00871E3F"/>
    <w:rsid w:val="0087565D"/>
    <w:rsid w:val="00883ABB"/>
    <w:rsid w:val="00892DF4"/>
    <w:rsid w:val="00894E26"/>
    <w:rsid w:val="00897E24"/>
    <w:rsid w:val="008A21F8"/>
    <w:rsid w:val="008A4206"/>
    <w:rsid w:val="008D13D7"/>
    <w:rsid w:val="008E2933"/>
    <w:rsid w:val="008E63B6"/>
    <w:rsid w:val="00902BEC"/>
    <w:rsid w:val="00907451"/>
    <w:rsid w:val="00956FEF"/>
    <w:rsid w:val="009611D3"/>
    <w:rsid w:val="009861E6"/>
    <w:rsid w:val="0098633B"/>
    <w:rsid w:val="009D1B8B"/>
    <w:rsid w:val="009D4A3C"/>
    <w:rsid w:val="009E03DD"/>
    <w:rsid w:val="00A01E1E"/>
    <w:rsid w:val="00A0229B"/>
    <w:rsid w:val="00A10507"/>
    <w:rsid w:val="00A108C9"/>
    <w:rsid w:val="00A1161D"/>
    <w:rsid w:val="00A204F8"/>
    <w:rsid w:val="00A21005"/>
    <w:rsid w:val="00A3116B"/>
    <w:rsid w:val="00A44ECA"/>
    <w:rsid w:val="00A769BF"/>
    <w:rsid w:val="00A95C5A"/>
    <w:rsid w:val="00AA4906"/>
    <w:rsid w:val="00AA53B5"/>
    <w:rsid w:val="00AA7F33"/>
    <w:rsid w:val="00AB0909"/>
    <w:rsid w:val="00AC3ECC"/>
    <w:rsid w:val="00AC595D"/>
    <w:rsid w:val="00AD0389"/>
    <w:rsid w:val="00B02DEB"/>
    <w:rsid w:val="00B06371"/>
    <w:rsid w:val="00B1786D"/>
    <w:rsid w:val="00B32560"/>
    <w:rsid w:val="00B42E5B"/>
    <w:rsid w:val="00B547F4"/>
    <w:rsid w:val="00B615F6"/>
    <w:rsid w:val="00B63E78"/>
    <w:rsid w:val="00B64C32"/>
    <w:rsid w:val="00B7062F"/>
    <w:rsid w:val="00B9495F"/>
    <w:rsid w:val="00B95ED4"/>
    <w:rsid w:val="00BA3598"/>
    <w:rsid w:val="00BB72CD"/>
    <w:rsid w:val="00BC43BD"/>
    <w:rsid w:val="00BD3F99"/>
    <w:rsid w:val="00BE6B5D"/>
    <w:rsid w:val="00C30213"/>
    <w:rsid w:val="00C31223"/>
    <w:rsid w:val="00C3452B"/>
    <w:rsid w:val="00C44E15"/>
    <w:rsid w:val="00C469D8"/>
    <w:rsid w:val="00C47969"/>
    <w:rsid w:val="00C56965"/>
    <w:rsid w:val="00C6145E"/>
    <w:rsid w:val="00C73967"/>
    <w:rsid w:val="00CC5CDC"/>
    <w:rsid w:val="00CF1906"/>
    <w:rsid w:val="00CF220C"/>
    <w:rsid w:val="00CF29D2"/>
    <w:rsid w:val="00D01C8F"/>
    <w:rsid w:val="00D169AA"/>
    <w:rsid w:val="00D32E4F"/>
    <w:rsid w:val="00D45BDD"/>
    <w:rsid w:val="00D479B7"/>
    <w:rsid w:val="00D85AE5"/>
    <w:rsid w:val="00D94893"/>
    <w:rsid w:val="00D95B00"/>
    <w:rsid w:val="00D9754B"/>
    <w:rsid w:val="00DB70E3"/>
    <w:rsid w:val="00DC2F2E"/>
    <w:rsid w:val="00DC752B"/>
    <w:rsid w:val="00DD56FF"/>
    <w:rsid w:val="00DD6D0A"/>
    <w:rsid w:val="00E14B35"/>
    <w:rsid w:val="00E20299"/>
    <w:rsid w:val="00E30FFD"/>
    <w:rsid w:val="00E337F5"/>
    <w:rsid w:val="00E358FB"/>
    <w:rsid w:val="00E35D2D"/>
    <w:rsid w:val="00E433E7"/>
    <w:rsid w:val="00E920D4"/>
    <w:rsid w:val="00EB5E8F"/>
    <w:rsid w:val="00EC17E9"/>
    <w:rsid w:val="00EC695B"/>
    <w:rsid w:val="00EF58C6"/>
    <w:rsid w:val="00EF71F7"/>
    <w:rsid w:val="00F11F36"/>
    <w:rsid w:val="00F26BA7"/>
    <w:rsid w:val="00F33C81"/>
    <w:rsid w:val="00F41D72"/>
    <w:rsid w:val="00F466F2"/>
    <w:rsid w:val="00F50FA1"/>
    <w:rsid w:val="00F71A88"/>
    <w:rsid w:val="00F76B05"/>
    <w:rsid w:val="00F91B56"/>
    <w:rsid w:val="00F966B7"/>
    <w:rsid w:val="00F97255"/>
    <w:rsid w:val="00FB24D8"/>
    <w:rsid w:val="00FD0DFE"/>
    <w:rsid w:val="00FD168F"/>
    <w:rsid w:val="00FD32BD"/>
    <w:rsid w:val="00FD3336"/>
    <w:rsid w:val="00FD3F13"/>
    <w:rsid w:val="00FF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124789B-415F-4EEF-95D2-328AF779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2538</Words>
  <Characters>13961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2018-09-03T17:06:00Z</cp:lastPrinted>
  <dcterms:created xsi:type="dcterms:W3CDTF">2018-10-16T01:04:00Z</dcterms:created>
  <dcterms:modified xsi:type="dcterms:W3CDTF">2018-10-16T01:04:00Z</dcterms:modified>
</cp:coreProperties>
</file>